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b/>
          <w:sz w:val="36"/>
          <w:lang w:eastAsia="zh-CN"/>
        </w:rPr>
        <w:t>全自动免疫印迹仪</w:t>
      </w:r>
      <w:r>
        <w:rPr>
          <w:rFonts w:hint="eastAsia"/>
          <w:b/>
          <w:sz w:val="36"/>
        </w:rPr>
        <w:t>技术参数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CFDA注册证：全套产品都有注册证，包括印迹仪及判读软件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配套试剂：提供原厂配套试剂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最多预设检测项目数：70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杂项整合功能：支持内部预设杂项整合程序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断电保护功能：自动记忆上次运行步骤，通电启动后可继续未完成的实验操作。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跳步功能：可在仪器运行过程中暂停，随意跳转到任一操作步骤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处理样本数：单次≥50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分液通道：6个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分配精度：分液准确性&lt;±10%;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重复性偏差小于5%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摇床模式：2角度可调，3档速度可调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有试剂蠕动泵及试剂回流功能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试剂瓶设计：每个试剂瓶有刻度设计，底物试剂瓶配套遮光筒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试剂槽：一次性使用温育槽，特殊温育槽设计(过敏原检测的梯形温育槽)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液体处理方式：</w:t>
      </w:r>
    </w:p>
    <w:p>
      <w:pPr>
        <w:pStyle w:val="10"/>
        <w:ind w:left="420" w:firstLine="0"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单通道处理，试剂槽倾斜设计；</w:t>
      </w:r>
    </w:p>
    <w:p>
      <w:pPr>
        <w:pStyle w:val="10"/>
        <w:ind w:left="420" w:firstLine="0"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加液---保证所有反应同时进行；</w:t>
      </w:r>
    </w:p>
    <w:p>
      <w:pPr>
        <w:pStyle w:val="10"/>
        <w:ind w:left="420" w:firstLine="0"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吸液---废液吸取更干净，极少的残留。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加样头：硅胶管末端,加样后回吸功能，不挂滴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漏液保护：漏液保护通道，有溢液孔和溢流瓶设计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结果判读：支持扫描仪成像，有判读软件，内部定量的结果判读，支持过敏原检测国际通用的EAST规则;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结果判读的定标功能：有专用定标卡，保证结果判读的准确性与稳定性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单步孵育时间：无限定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孵育分析总时间：无限定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温控模块：无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设备自带7寸触控屏，可直接操控实验，无需外接电脑。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售后服务：厂家直接售后支持，24h内快速现场响应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生殖道分泌物分析仪招标参数</w:t>
      </w: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1. 工作原理：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有形成分检测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应用人工智能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机器视觉技术，</w:t>
      </w:r>
      <w:r>
        <w:rPr>
          <w:rFonts w:hint="eastAsia" w:ascii="仿宋" w:hAnsi="仿宋" w:eastAsia="仿宋" w:cs="仿宋"/>
          <w:b w:val="0"/>
          <w:bCs/>
          <w:color w:val="231F20"/>
          <w:kern w:val="0"/>
          <w:sz w:val="28"/>
          <w:szCs w:val="28"/>
        </w:rPr>
        <w:t>对标本中有形成分进行实景采图、识别和分类计数； 干化学检测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通过采集试纸条图像，运用比色分析法自动判读检测结果，提供图片审核和溯源。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检测项目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：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2.1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干化学项目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：支持1-11项检测，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可根据临床需要选择组合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，检测项目包括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PH值、过氧化氢、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乳酸、氧化酶、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白细胞酯酶、碱性磷酸基酞酶、唾液酸苷酶、脯氨酸氨基肽酶、乙酰氨基葡萄糖苷酶、β-葡萄糖醛酸酶、凝固酶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2.2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有形成分：包括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红细胞、白细胞、上皮细胞、线索细胞、阴道毛滴虫、真菌、细菌等所有镜下有形成分。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. 一体化：在一台仪器上可同时进行白带干化学和有形成分检测，更节省实验室空间，一次进样即可完成干化学及有形成分检测，避免取样误差，结果更准确。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. 多功能：一机多用，可选择多种检测模式：干化学模式/ 有形成分分析模式/ 干化学+有形成分模式。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 送样装置：轨道式送样，一次性可批处理60个标本。</w:t>
      </w:r>
    </w:p>
    <w:p>
      <w:pPr>
        <w:spacing w:line="60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6.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标本采集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配备高位可折断尼龙植绒采样拭子，吸附能力强，利于病理成分的采集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7. 标本前处理：标本前处理过程自动化、标准化，仪器自动加注细胞保存液、自动涮洗、自动挤干采样拭子、自动开盖、自动吸样、自动回盖。</w:t>
      </w:r>
    </w:p>
    <w:p>
      <w:pPr>
        <w:spacing w:line="600" w:lineRule="exact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8. 有形成分洗脱：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一端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有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凹槽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，便于细胞成分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充分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脱落，保证阳性检出率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（提供相关专利证书）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9. 有形成分染色：自动对有形成分滴加染液，自动染色，提高自动识别率，人工审核更便利。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. 恒温控制：电脑精准恒温控制，使干化学检测卡区域温度恒定在37±0.5℃，维持预成酶最佳催化温度，确保低浓度标本能有效检测。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干化学检测分纸系统：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自动分纸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，确保纸条自动单条正面输出，准确入位，避免卡纸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检测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结果溯源：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提供干化学检测试纸图片及镜下实景图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，方便人工复审和溯源。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检测结果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智能审核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通过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对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镜检结果与干化学分析结果的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智能化、自动化综合分析，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提示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是否需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人工审核，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降低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检验者的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工作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负担，提高工作效率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急诊功能：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独立急诊位，优先检测急诊标本。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报告方式：可综合报告干化学及有形成分计数结果，提供高低倍镜下实景图，图文并茂。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检测速度：≥120标本/小时，并发出综合报告。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/>
        </w:rPr>
        <w:t>有自产的质控品（提供注册证）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. 准确度：干化学：检测结果与参考溶液对照不超过1个量级/ 阳性结果不出现阴性，阴性结果不出现阳性； 有形成分：≥95%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（提供注册检验报告）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交叉污染：干化学：阴性和阳性参考品交叉测试，阴性样本不出现阳性结果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有形成分：≤1个/μL（浓度5000个/μL）（提供注册检验报告）。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数据存储量：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100万个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打印机：激光打印机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数据接口：双向通讯接口，方便数据传输。</w:t>
      </w:r>
    </w:p>
    <w:p>
      <w:pPr>
        <w:pStyle w:val="8"/>
        <w:widowControl/>
        <w:spacing w:line="480" w:lineRule="exact"/>
        <w:ind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. 网络功能：可连科室及医院计算机网络，实现分析报告无纸化传输。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全自动核酸分子杂交仪招标参数</w:t>
      </w:r>
    </w:p>
    <w:tbl>
      <w:tblPr>
        <w:tblStyle w:val="6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招标设备要求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</w:tcPr>
          <w:p>
            <w:pPr>
              <w:pStyle w:val="9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设备采用温育方法进行分子杂交，无需压力装置，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集分子杂交，洗膜，孵育，显色、结果拍照于一体，且能实现机器自动配液，无需人工预先配制杂交液、显色液等试剂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3" w:type="dxa"/>
            <w:vAlign w:val="center"/>
          </w:tcPr>
          <w:p>
            <w:pPr>
              <w:pStyle w:val="9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设备已配置完好的杂交反应室或有相应反应盒耗材，每个样本独立反应，无需另外进行杂交反应室分隔，避免交叉污染。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具备独立的试剂监测保护功能，低温保存，试剂余量监测，试剂自动配制。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单次实验最多可一次进行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个样本杂交反应，且单次实验通量可在1～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间自由选择，使用灵活，无需凑整，无试剂耗材浪费。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配套软件可识别系统所拍照片，直接判读结果，无需人工判读，且可导出结果与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LIS连接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生物芯片阅读功能测试准确度：阴、阳性符合率1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%；均一性：C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V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设备自带7寸触控屏，可直接操控实验，无需外接电脑。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温控范围30℃～65℃可调。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加吸液液量准确度±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温度波动值≤±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具有超温保护器，高于85℃时断开。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5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设备厂商同时具有药监局批准的H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PV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分型、地中海贫血基因检测、分枝杆菌菌种鉴定检测试剂。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0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全自动血细胞分析仪招标参数</w:t>
      </w:r>
    </w:p>
    <w:p>
      <w:pPr>
        <w:spacing w:line="30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1、检测原理：</w:t>
      </w:r>
      <w:r>
        <w:rPr>
          <w:rFonts w:hint="eastAsia" w:ascii="仿宋" w:hAnsi="仿宋" w:eastAsia="仿宋" w:cs="仿宋"/>
          <w:bCs/>
          <w:sz w:val="28"/>
          <w:szCs w:val="28"/>
        </w:rPr>
        <w:t>采用</w:t>
      </w:r>
      <w:r>
        <w:rPr>
          <w:rFonts w:hint="eastAsia" w:ascii="仿宋" w:hAnsi="仿宋" w:eastAsia="仿宋" w:cs="仿宋"/>
          <w:sz w:val="28"/>
          <w:szCs w:val="28"/>
        </w:rPr>
        <w:t>荧光染色、流式细胞计数法、液压聚焦阻抗法、SLS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血红蛋白法</w:t>
      </w:r>
    </w:p>
    <w:p>
      <w:pPr>
        <w:spacing w:line="30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2、白细胞计数：</w:t>
      </w:r>
      <w:r>
        <w:rPr>
          <w:rFonts w:hint="eastAsia" w:ascii="仿宋" w:hAnsi="仿宋" w:eastAsia="仿宋" w:cs="仿宋"/>
          <w:bCs/>
          <w:sz w:val="28"/>
          <w:szCs w:val="28"/>
        </w:rPr>
        <w:t>采用先进的激光流式原理及核酸荧光染色技术，使白细胞计数免受难溶红细胞、巨大血小板、血小板簇及细胞碎片等的干扰</w:t>
      </w:r>
    </w:p>
    <w:p>
      <w:pPr>
        <w:spacing w:line="30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、检测速度：</w:t>
      </w:r>
      <w:r>
        <w:rPr>
          <w:rFonts w:hint="eastAsia" w:ascii="仿宋" w:hAnsi="仿宋" w:eastAsia="仿宋" w:cs="仿宋"/>
          <w:bCs/>
          <w:sz w:val="28"/>
          <w:szCs w:val="28"/>
        </w:rPr>
        <w:t>全血血常规五分类速度≥7</w:t>
      </w:r>
      <w:r>
        <w:rPr>
          <w:rFonts w:hint="eastAsia" w:ascii="仿宋" w:hAnsi="仿宋" w:eastAsia="仿宋" w:cs="仿宋"/>
          <w:bCs/>
          <w:sz w:val="28"/>
          <w:szCs w:val="28"/>
        </w:rPr>
        <w:t>0</w:t>
      </w:r>
      <w:r>
        <w:rPr>
          <w:rFonts w:hint="eastAsia" w:ascii="仿宋" w:hAnsi="仿宋" w:eastAsia="仿宋" w:cs="仿宋"/>
          <w:bCs/>
          <w:sz w:val="28"/>
          <w:szCs w:val="28"/>
        </w:rPr>
        <w:t>T</w:t>
      </w:r>
      <w:r>
        <w:rPr>
          <w:rFonts w:hint="eastAsia" w:ascii="仿宋" w:hAnsi="仿宋" w:eastAsia="仿宋" w:cs="仿宋"/>
          <w:bCs/>
          <w:sz w:val="28"/>
          <w:szCs w:val="28"/>
        </w:rPr>
        <w:t>/</w:t>
      </w:r>
      <w:r>
        <w:rPr>
          <w:rFonts w:hint="eastAsia" w:ascii="仿宋" w:hAnsi="仿宋" w:eastAsia="仿宋" w:cs="仿宋"/>
          <w:bCs/>
          <w:sz w:val="28"/>
          <w:szCs w:val="28"/>
        </w:rPr>
        <w:t>h，低值白细胞检测≥</w:t>
      </w:r>
      <w:r>
        <w:rPr>
          <w:rFonts w:hint="eastAsia" w:ascii="仿宋" w:hAnsi="仿宋" w:eastAsia="仿宋" w:cs="仿宋"/>
          <w:bCs/>
          <w:sz w:val="28"/>
          <w:szCs w:val="28"/>
        </w:rPr>
        <w:t>50</w:t>
      </w:r>
      <w:r>
        <w:rPr>
          <w:rFonts w:hint="eastAsia" w:ascii="仿宋" w:hAnsi="仿宋" w:eastAsia="仿宋" w:cs="仿宋"/>
          <w:bCs/>
          <w:sz w:val="28"/>
          <w:szCs w:val="28"/>
        </w:rPr>
        <w:t>T</w:t>
      </w:r>
      <w:r>
        <w:rPr>
          <w:rFonts w:hint="eastAsia" w:ascii="仿宋" w:hAnsi="仿宋" w:eastAsia="仿宋" w:cs="仿宋"/>
          <w:bCs/>
          <w:sz w:val="28"/>
          <w:szCs w:val="28"/>
        </w:rPr>
        <w:t>/</w:t>
      </w:r>
      <w:r>
        <w:rPr>
          <w:rFonts w:hint="eastAsia" w:ascii="仿宋" w:hAnsi="仿宋" w:eastAsia="仿宋" w:cs="仿宋"/>
          <w:bCs/>
          <w:sz w:val="28"/>
          <w:szCs w:val="28"/>
        </w:rPr>
        <w:t>h，常见</w:t>
      </w:r>
      <w:r>
        <w:rPr>
          <w:rFonts w:hint="eastAsia" w:ascii="仿宋" w:hAnsi="仿宋" w:eastAsia="仿宋" w:cs="仿宋"/>
          <w:sz w:val="28"/>
          <w:szCs w:val="28"/>
        </w:rPr>
        <w:t>体液检测</w:t>
      </w:r>
      <w:r>
        <w:rPr>
          <w:rFonts w:hint="eastAsia" w:ascii="仿宋" w:hAnsi="仿宋" w:eastAsia="仿宋" w:cs="仿宋"/>
          <w:bCs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T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h</w:t>
      </w:r>
    </w:p>
    <w:p>
      <w:pPr>
        <w:spacing w:line="30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4、需血量：</w:t>
      </w:r>
      <w:r>
        <w:rPr>
          <w:rFonts w:hint="eastAsia" w:ascii="仿宋" w:hAnsi="仿宋" w:eastAsia="仿宋" w:cs="仿宋"/>
          <w:sz w:val="28"/>
          <w:szCs w:val="28"/>
        </w:rPr>
        <w:t>血常规检测最低需血量≤2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ul，常见体液检测需样量≤7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ul</w:t>
      </w:r>
    </w:p>
    <w:p>
      <w:pPr>
        <w:spacing w:line="30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5、预稀释模式：</w:t>
      </w:r>
      <w:r>
        <w:rPr>
          <w:rFonts w:hint="eastAsia" w:ascii="仿宋" w:hAnsi="仿宋" w:eastAsia="仿宋" w:cs="仿宋"/>
          <w:bCs/>
          <w:sz w:val="28"/>
          <w:szCs w:val="28"/>
        </w:rPr>
        <w:t>支持稀释液自动配液，稀释比例微量血1：7稀释液</w:t>
      </w:r>
    </w:p>
    <w:p>
      <w:pPr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6、样本类型：</w:t>
      </w:r>
      <w:r>
        <w:rPr>
          <w:rFonts w:hint="eastAsia" w:ascii="仿宋" w:hAnsi="仿宋" w:eastAsia="仿宋" w:cs="仿宋"/>
          <w:sz w:val="28"/>
          <w:szCs w:val="28"/>
        </w:rPr>
        <w:t>支持静脉全血、末梢微量血、预稀释血液、体液</w:t>
      </w:r>
    </w:p>
    <w:p>
      <w:pPr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检测项目（可报告参数）：</w:t>
      </w:r>
      <w:r>
        <w:rPr>
          <w:rFonts w:hint="eastAsia" w:ascii="仿宋" w:hAnsi="仿宋" w:eastAsia="仿宋" w:cs="仿宋"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>项血液报告参数，≥6项体液报告参数</w:t>
      </w:r>
    </w:p>
    <w:p>
      <w:pPr>
        <w:spacing w:line="30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8、血小板计数：</w:t>
      </w:r>
      <w:r>
        <w:rPr>
          <w:rFonts w:hint="eastAsia" w:ascii="仿宋" w:hAnsi="仿宋" w:eastAsia="仿宋" w:cs="仿宋"/>
          <w:bCs/>
          <w:sz w:val="28"/>
          <w:szCs w:val="28"/>
        </w:rPr>
        <w:t>具备两种方法进行血小板的定量计数，阻抗法PLT</w:t>
      </w:r>
      <w:r>
        <w:rPr>
          <w:rFonts w:hint="eastAsia" w:ascii="仿宋" w:hAnsi="仿宋" w:eastAsia="仿宋" w:cs="仿宋"/>
          <w:bCs/>
          <w:sz w:val="28"/>
          <w:szCs w:val="28"/>
        </w:rPr>
        <w:t>-</w:t>
      </w:r>
      <w:r>
        <w:rPr>
          <w:rFonts w:hint="eastAsia" w:ascii="仿宋" w:hAnsi="仿宋" w:eastAsia="仿宋" w:cs="仿宋"/>
          <w:bCs/>
          <w:sz w:val="28"/>
          <w:szCs w:val="28"/>
        </w:rPr>
        <w:t>I和光学法PLT</w:t>
      </w:r>
      <w:r>
        <w:rPr>
          <w:rFonts w:hint="eastAsia" w:ascii="仿宋" w:hAnsi="仿宋" w:eastAsia="仿宋" w:cs="仿宋"/>
          <w:bCs/>
          <w:sz w:val="28"/>
          <w:szCs w:val="28"/>
        </w:rPr>
        <w:t>-</w:t>
      </w:r>
      <w:r>
        <w:rPr>
          <w:rFonts w:hint="eastAsia" w:ascii="仿宋" w:hAnsi="仿宋" w:eastAsia="仿宋" w:cs="仿宋"/>
          <w:bCs/>
          <w:sz w:val="28"/>
          <w:szCs w:val="28"/>
        </w:rPr>
        <w:t>O、且对应方法学均可提供相应校准品进行校准。</w:t>
      </w:r>
    </w:p>
    <w:p>
      <w:pPr>
        <w:spacing w:line="30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9、网织红细胞检测功能（Ret）：</w:t>
      </w:r>
      <w:r>
        <w:rPr>
          <w:rFonts w:hint="eastAsia" w:ascii="仿宋" w:hAnsi="仿宋" w:eastAsia="仿宋" w:cs="仿宋"/>
          <w:bCs/>
          <w:sz w:val="28"/>
          <w:szCs w:val="28"/>
        </w:rPr>
        <w:t>使用核酸荧光染色及流式细胞技术，具有全自动网织红细胞定量计数和对网织红细胞成熟度的分类。</w:t>
      </w:r>
    </w:p>
    <w:p>
      <w:pPr>
        <w:spacing w:line="30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10</w:t>
      </w:r>
      <w:r>
        <w:rPr>
          <w:rFonts w:hint="eastAsia" w:ascii="仿宋" w:hAnsi="仿宋" w:eastAsia="仿宋" w:cs="仿宋"/>
          <w:b/>
          <w:sz w:val="28"/>
          <w:szCs w:val="28"/>
        </w:rPr>
        <w:t>、网织红细胞血红蛋白功能（Ret-he）：</w:t>
      </w:r>
      <w:r>
        <w:rPr>
          <w:rFonts w:hint="eastAsia" w:ascii="仿宋" w:hAnsi="仿宋" w:eastAsia="仿宋" w:cs="仿宋"/>
          <w:bCs/>
          <w:sz w:val="28"/>
          <w:szCs w:val="28"/>
        </w:rPr>
        <w:t>具有定量报告检测网织红细胞血红蛋白含量的功能，为报告参数。</w:t>
      </w:r>
    </w:p>
    <w:p>
      <w:pPr>
        <w:spacing w:line="30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、体液检测：</w:t>
      </w:r>
      <w:r>
        <w:rPr>
          <w:rFonts w:hint="eastAsia" w:ascii="仿宋" w:hAnsi="仿宋" w:eastAsia="仿宋" w:cs="仿宋"/>
          <w:bCs/>
          <w:sz w:val="28"/>
          <w:szCs w:val="28"/>
        </w:rPr>
        <w:t>可以对脑脊液、胸水、腹水、关节腔积液等体液进行红细胞和白细胞计数,并对白细胞进行分类；</w:t>
      </w:r>
    </w:p>
    <w:p>
      <w:pPr>
        <w:spacing w:line="30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12</w:t>
      </w:r>
      <w:r>
        <w:rPr>
          <w:rFonts w:hint="eastAsia" w:ascii="仿宋" w:hAnsi="仿宋" w:eastAsia="仿宋" w:cs="仿宋"/>
          <w:b/>
          <w:sz w:val="28"/>
          <w:szCs w:val="28"/>
        </w:rPr>
        <w:t>、体液异常提示：</w:t>
      </w:r>
      <w:r>
        <w:rPr>
          <w:rFonts w:hint="eastAsia" w:ascii="仿宋" w:hAnsi="仿宋" w:eastAsia="仿宋" w:cs="仿宋"/>
          <w:bCs/>
          <w:sz w:val="28"/>
          <w:szCs w:val="28"/>
        </w:rPr>
        <w:t>体液检测中具有通过高荧光体液细胞参数对肿瘤细胞进行提示功能；</w:t>
      </w:r>
    </w:p>
    <w:p>
      <w:pPr>
        <w:spacing w:line="30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13</w:t>
      </w:r>
      <w:r>
        <w:rPr>
          <w:rFonts w:hint="eastAsia" w:ascii="仿宋" w:hAnsi="仿宋" w:eastAsia="仿宋" w:cs="仿宋"/>
          <w:b/>
          <w:sz w:val="28"/>
          <w:szCs w:val="28"/>
        </w:rPr>
        <w:t>、准确度：</w:t>
      </w:r>
      <w:r>
        <w:rPr>
          <w:rFonts w:hint="eastAsia" w:ascii="仿宋" w:hAnsi="仿宋" w:eastAsia="仿宋" w:cs="仿宋"/>
          <w:bCs/>
          <w:sz w:val="28"/>
          <w:szCs w:val="28"/>
        </w:rPr>
        <w:t>WBC检测范围内允许偏差不超过±4.5%，RBC检测范围内允许偏差不超过±2%，HGB检测范围内允许偏差不超过±2%，HCT检测范围内允许偏差不超过±3%，PLT检测范围内允许偏差不超过±7%.</w:t>
      </w:r>
    </w:p>
    <w:p>
      <w:pPr>
        <w:spacing w:line="300" w:lineRule="auto"/>
        <w:jc w:val="left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、最低检测限要求：</w:t>
      </w:r>
      <w:r>
        <w:rPr>
          <w:rFonts w:hint="eastAsia" w:ascii="仿宋" w:hAnsi="仿宋" w:eastAsia="仿宋" w:cs="仿宋"/>
          <w:sz w:val="28"/>
          <w:szCs w:val="28"/>
        </w:rPr>
        <w:t>WBC</w:t>
      </w:r>
      <w:r>
        <w:rPr>
          <w:rFonts w:hint="eastAsia" w:ascii="仿宋" w:hAnsi="仿宋" w:eastAsia="仿宋" w:cs="仿宋"/>
          <w:sz w:val="28"/>
          <w:szCs w:val="28"/>
        </w:rPr>
        <w:t xml:space="preserve"> 0.01 x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-2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/μL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，RBC</w:t>
      </w:r>
      <w:r>
        <w:rPr>
          <w:rFonts w:hint="eastAsia" w:ascii="仿宋" w:hAnsi="仿宋" w:eastAsia="仿宋" w:cs="仿宋"/>
          <w:sz w:val="28"/>
          <w:szCs w:val="28"/>
        </w:rPr>
        <w:t xml:space="preserve"> 0.01x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-2"/>
          <w:sz w:val="28"/>
          <w:szCs w:val="28"/>
          <w:vertAlign w:val="superscript"/>
        </w:rPr>
        <w:t>6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/μL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，HGB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 0.0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g/dL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，PLT</w:t>
      </w:r>
      <w:r>
        <w:rPr>
          <w:rFonts w:hint="eastAsia" w:ascii="仿宋" w:hAnsi="仿宋" w:eastAsia="仿宋" w:cs="仿宋"/>
          <w:spacing w:val="-4"/>
          <w:sz w:val="28"/>
          <w:szCs w:val="28"/>
        </w:rPr>
        <w:t xml:space="preserve"> 1</w:t>
      </w:r>
      <w:r>
        <w:rPr>
          <w:rFonts w:hint="eastAsia" w:ascii="仿宋" w:hAnsi="仿宋" w:eastAsia="仿宋" w:cs="仿宋"/>
          <w:sz w:val="28"/>
          <w:szCs w:val="28"/>
        </w:rPr>
        <w:t>x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-2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/μL</w:t>
      </w:r>
    </w:p>
    <w:p>
      <w:pPr>
        <w:spacing w:line="30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15、血液质控品：</w:t>
      </w:r>
      <w:r>
        <w:rPr>
          <w:rFonts w:hint="eastAsia" w:ascii="仿宋" w:hAnsi="仿宋" w:eastAsia="仿宋" w:cs="仿宋"/>
          <w:bCs/>
          <w:sz w:val="28"/>
          <w:szCs w:val="28"/>
        </w:rPr>
        <w:t>定期提供原厂配套的高、中、低三个水平的质控品，并通过FDA及NMPA注册。质控项目覆盖所有报告参数；</w:t>
      </w:r>
    </w:p>
    <w:p>
      <w:pPr>
        <w:spacing w:line="30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16、体液质控品：</w:t>
      </w:r>
      <w:r>
        <w:rPr>
          <w:rFonts w:hint="eastAsia" w:ascii="仿宋" w:hAnsi="仿宋" w:eastAsia="仿宋" w:cs="仿宋"/>
          <w:bCs/>
          <w:sz w:val="28"/>
          <w:szCs w:val="28"/>
        </w:rPr>
        <w:t>定期提供原厂配套的高、低两个水平的质控品，并通过FDA及NMPA注册。质控项目覆盖所有报告参数；</w:t>
      </w:r>
    </w:p>
    <w:p>
      <w:pPr>
        <w:spacing w:line="30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17、校准品：</w:t>
      </w:r>
      <w:r>
        <w:rPr>
          <w:rFonts w:hint="eastAsia" w:ascii="仿宋" w:hAnsi="仿宋" w:eastAsia="仿宋" w:cs="仿宋"/>
          <w:bCs/>
          <w:sz w:val="28"/>
          <w:szCs w:val="28"/>
        </w:rPr>
        <w:t>定期提供原厂配套的，并通过FDA及NMPA注册的校准品。一支校准品可校准项目包含RBC、WBC、HGB、PLT、HCT、MCV、RET。</w:t>
      </w:r>
    </w:p>
    <w:p>
      <w:pPr>
        <w:spacing w:line="30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、实时网络通讯系统：</w:t>
      </w:r>
      <w:r>
        <w:rPr>
          <w:rFonts w:hint="eastAsia" w:ascii="仿宋" w:hAnsi="仿宋" w:eastAsia="仿宋" w:cs="仿宋"/>
          <w:sz w:val="28"/>
          <w:szCs w:val="28"/>
        </w:rPr>
        <w:t>提供实时在线网络质控功能，并具备ISO</w:t>
      </w:r>
      <w:r>
        <w:rPr>
          <w:rFonts w:hint="eastAsia" w:ascii="仿宋" w:hAnsi="仿宋" w:eastAsia="仿宋" w:cs="仿宋"/>
          <w:sz w:val="28"/>
          <w:szCs w:val="28"/>
        </w:rPr>
        <w:t>17043</w:t>
      </w:r>
      <w:r>
        <w:rPr>
          <w:rFonts w:hint="eastAsia" w:ascii="仿宋" w:hAnsi="仿宋" w:eastAsia="仿宋" w:cs="仿宋"/>
          <w:sz w:val="28"/>
          <w:szCs w:val="28"/>
        </w:rPr>
        <w:t>等权威认证，通过室内质控实现实时的室间质评，确保实验室的结果质量达到国际质量水准。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3154E"/>
    <w:multiLevelType w:val="multilevel"/>
    <w:tmpl w:val="45C3154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Dk0OWQyOWMyMDNiMzU4NjFjYTg4MGUxOTVlYzAifQ=="/>
    <w:docVar w:name="KSO_WPS_MARK_KEY" w:val="3222ee03-e782-408a-8dec-52084167834b"/>
  </w:docVars>
  <w:rsids>
    <w:rsidRoot w:val="00000000"/>
    <w:rsid w:val="049147FD"/>
    <w:rsid w:val="18057602"/>
    <w:rsid w:val="1A24704D"/>
    <w:rsid w:val="37EB1F18"/>
    <w:rsid w:val="4D31441A"/>
    <w:rsid w:val="53971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_Style 4"/>
    <w:basedOn w:val="3"/>
    <w:next w:val="5"/>
    <w:unhideWhenUsed/>
    <w:qFormat/>
    <w:uiPriority w:val="99"/>
    <w:pPr>
      <w:ind w:firstLine="420" w:firstLineChars="100"/>
    </w:pPr>
    <w:rPr>
      <w:rFonts w:ascii="Times New Roma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2372</Words>
  <Characters>2594</Characters>
  <Lines>0</Lines>
  <Paragraphs>0</Paragraphs>
  <TotalTime>9</TotalTime>
  <ScaleCrop>false</ScaleCrop>
  <LinksUpToDate>false</LinksUpToDate>
  <CharactersWithSpaces>2632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2024-05-10T02:01:09Z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26F6E73708FE4BB9B870490C742B204F_12</vt:lpwstr>
  </property>
</Properties>
</file>