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ascii="Arial" w:hAnsi="Arial" w:cs="Arial"/>
          <w:b/>
          <w:color w:val="auto"/>
          <w:sz w:val="60"/>
          <w:szCs w:val="60"/>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23" w:type="dxa"/>
            <w:gridSpan w:val="2"/>
            <w:tcBorders>
              <w:top w:val="nil"/>
              <w:left w:val="nil"/>
              <w:right w:val="nil"/>
            </w:tcBorders>
            <w:noWrap w:val="0"/>
            <w:vAlign w:val="center"/>
          </w:tcPr>
          <w:p>
            <w:pPr>
              <w:snapToGrid w:val="0"/>
              <w:spacing w:line="288" w:lineRule="auto"/>
              <w:jc w:val="center"/>
              <w:rPr>
                <w:rFonts w:ascii="Arial" w:hAnsi="Arial" w:cs="Arial"/>
                <w:b/>
                <w:color w:val="auto"/>
                <w:sz w:val="60"/>
                <w:szCs w:val="60"/>
                <w:highlight w:val="none"/>
              </w:rPr>
            </w:pPr>
            <w:r>
              <w:rPr>
                <w:rFonts w:ascii="Arial" w:hAnsi="Arial" w:cs="Arial"/>
                <w:b/>
                <w:color w:val="auto"/>
                <w:sz w:val="60"/>
                <w:szCs w:val="60"/>
                <w:highlight w:val="none"/>
              </w:rPr>
              <w:t>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1764" w:type="dxa"/>
            <w:noWrap w:val="0"/>
            <w:vAlign w:val="center"/>
          </w:tcPr>
          <w:p>
            <w:pPr>
              <w:spacing w:line="288" w:lineRule="auto"/>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6159" w:type="dxa"/>
            <w:noWrap w:val="0"/>
            <w:vAlign w:val="center"/>
          </w:tcPr>
          <w:p>
            <w:pPr>
              <w:spacing w:line="288" w:lineRule="auto"/>
              <w:rPr>
                <w:rFonts w:hint="eastAsia" w:ascii="Arial" w:hAnsi="Arial" w:cs="Arial"/>
                <w:b/>
                <w:color w:val="auto"/>
                <w:sz w:val="32"/>
                <w:szCs w:val="32"/>
                <w:highlight w:val="none"/>
              </w:rPr>
            </w:pPr>
            <w:r>
              <w:rPr>
                <w:rFonts w:hint="eastAsia" w:ascii="Arial" w:hAnsi="Arial" w:cs="Arial"/>
                <w:b/>
                <w:color w:val="auto"/>
                <w:sz w:val="32"/>
                <w:szCs w:val="32"/>
                <w:highlight w:val="none"/>
              </w:rPr>
              <w:t>兴安县人民医院整体搬迁项目（一期）医疗工艺</w:t>
            </w:r>
            <w:r>
              <w:rPr>
                <w:rFonts w:hint="eastAsia" w:ascii="Arial" w:hAnsi="Arial" w:cs="Arial"/>
                <w:b/>
                <w:color w:val="auto"/>
                <w:sz w:val="32"/>
                <w:szCs w:val="32"/>
                <w:highlight w:val="none"/>
                <w:lang w:val="en-US" w:eastAsia="zh-CN"/>
              </w:rPr>
              <w:t>设计</w:t>
            </w:r>
            <w:r>
              <w:rPr>
                <w:rFonts w:hint="eastAsia" w:ascii="Arial" w:hAnsi="Arial" w:cs="Arial"/>
                <w:b/>
                <w:color w:val="auto"/>
                <w:sz w:val="32"/>
                <w:szCs w:val="32"/>
                <w:highlight w:val="none"/>
              </w:rPr>
              <w:t>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spacing w:line="288" w:lineRule="auto"/>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6159" w:type="dxa"/>
            <w:noWrap w:val="0"/>
            <w:vAlign w:val="center"/>
          </w:tcPr>
          <w:p>
            <w:pPr>
              <w:spacing w:line="288" w:lineRule="auto"/>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GLZC2025-C3-250092-JDZB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spacing w:line="288" w:lineRule="auto"/>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6159" w:type="dxa"/>
            <w:noWrap w:val="0"/>
            <w:vAlign w:val="center"/>
          </w:tcPr>
          <w:p>
            <w:pPr>
              <w:spacing w:line="288" w:lineRule="auto"/>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pPr>
        <w:tabs>
          <w:tab w:val="left" w:pos="1710"/>
        </w:tabs>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p>
      <w:pPr>
        <w:spacing w:line="288" w:lineRule="auto"/>
        <w:rPr>
          <w:rFonts w:ascii="Arial" w:hAnsi="Arial" w:cs="Arial"/>
          <w:color w:val="auto"/>
          <w:highlight w:val="none"/>
        </w:rPr>
      </w:pPr>
    </w:p>
    <w:tbl>
      <w:tblPr>
        <w:tblStyle w:val="33"/>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noWrap w:val="0"/>
            <w:vAlign w:val="center"/>
          </w:tcPr>
          <w:p>
            <w:pPr>
              <w:autoSpaceDE w:val="0"/>
              <w:autoSpaceDN w:val="0"/>
              <w:adjustRightInd w:val="0"/>
              <w:spacing w:line="288" w:lineRule="auto"/>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5577" w:type="dxa"/>
            <w:gridSpan w:val="2"/>
            <w:noWrap w:val="0"/>
            <w:vAlign w:val="center"/>
          </w:tcPr>
          <w:p>
            <w:pPr>
              <w:autoSpaceDE w:val="0"/>
              <w:autoSpaceDN w:val="0"/>
              <w:adjustRightInd w:val="0"/>
              <w:spacing w:line="288" w:lineRule="auto"/>
              <w:jc w:val="left"/>
              <w:rPr>
                <w:rFonts w:hint="eastAsia" w:ascii="Arial" w:hAnsi="Arial" w:cs="Arial"/>
                <w:b/>
                <w:color w:val="auto"/>
                <w:sz w:val="32"/>
                <w:szCs w:val="32"/>
                <w:highlight w:val="none"/>
              </w:rPr>
            </w:pPr>
            <w:r>
              <w:rPr>
                <w:rFonts w:hint="eastAsia" w:ascii="Arial" w:hAnsi="Arial" w:cs="Arial"/>
                <w:b/>
                <w:color w:val="auto"/>
                <w:sz w:val="32"/>
                <w:szCs w:val="32"/>
                <w:highlight w:val="none"/>
              </w:rPr>
              <w:t>兴安县人民医院</w:t>
            </w:r>
          </w:p>
        </w:tc>
      </w:tr>
      <w:tr>
        <w:tblPrEx>
          <w:tblCellMar>
            <w:top w:w="0" w:type="dxa"/>
            <w:left w:w="108" w:type="dxa"/>
            <w:bottom w:w="0" w:type="dxa"/>
            <w:right w:w="108" w:type="dxa"/>
          </w:tblCellMar>
        </w:tblPrEx>
        <w:trPr>
          <w:trHeight w:val="703" w:hRule="atLeast"/>
          <w:jc w:val="center"/>
        </w:trPr>
        <w:tc>
          <w:tcPr>
            <w:tcW w:w="2713" w:type="dxa"/>
            <w:gridSpan w:val="2"/>
            <w:noWrap w:val="0"/>
            <w:vAlign w:val="top"/>
          </w:tcPr>
          <w:p>
            <w:pPr>
              <w:autoSpaceDE w:val="0"/>
              <w:autoSpaceDN w:val="0"/>
              <w:adjustRightInd w:val="0"/>
              <w:spacing w:line="288" w:lineRule="auto"/>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571" w:type="dxa"/>
            <w:noWrap w:val="0"/>
            <w:vAlign w:val="top"/>
          </w:tcPr>
          <w:p>
            <w:pPr>
              <w:autoSpaceDE w:val="0"/>
              <w:autoSpaceDN w:val="0"/>
              <w:adjustRightInd w:val="0"/>
              <w:spacing w:line="288" w:lineRule="auto"/>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pPr>
        <w:spacing w:line="288" w:lineRule="auto"/>
        <w:rPr>
          <w:rFonts w:ascii="Arial" w:hAnsi="Arial" w:cs="Arial"/>
          <w:color w:val="auto"/>
          <w:highlight w:val="none"/>
        </w:rPr>
      </w:pPr>
    </w:p>
    <w:p>
      <w:pPr>
        <w:pStyle w:val="21"/>
        <w:spacing w:line="288" w:lineRule="auto"/>
        <w:jc w:val="center"/>
        <w:rPr>
          <w:rFonts w:ascii="Arial" w:hAnsi="Arial" w:cs="Arial"/>
          <w:color w:val="auto"/>
          <w:sz w:val="44"/>
          <w:highlight w:val="none"/>
        </w:rPr>
      </w:pPr>
      <w:r>
        <w:rPr>
          <w:rFonts w:ascii="Arial" w:hAnsi="Arial" w:cs="Arial"/>
          <w:b/>
          <w:color w:val="auto"/>
          <w:sz w:val="32"/>
          <w:szCs w:val="32"/>
          <w:highlight w:val="none"/>
        </w:rPr>
        <w:t>202</w:t>
      </w:r>
      <w:r>
        <w:rPr>
          <w:rFonts w:hint="eastAsia" w:ascii="Arial" w:hAnsi="Arial" w:cs="Arial"/>
          <w:b/>
          <w:color w:val="auto"/>
          <w:sz w:val="32"/>
          <w:szCs w:val="32"/>
          <w:highlight w:val="none"/>
        </w:rPr>
        <w:t>5</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10</w:t>
      </w:r>
      <w:r>
        <w:rPr>
          <w:rFonts w:ascii="Arial" w:hAnsi="Arial" w:cs="Arial"/>
          <w:b/>
          <w:color w:val="auto"/>
          <w:sz w:val="32"/>
          <w:szCs w:val="32"/>
          <w:highlight w:val="none"/>
        </w:rPr>
        <w:t>月</w:t>
      </w:r>
    </w:p>
    <w:p>
      <w:pPr>
        <w:snapToGrid w:val="0"/>
        <w:spacing w:before="156" w:beforeLines="50" w:line="288" w:lineRule="auto"/>
        <w:jc w:val="center"/>
        <w:rPr>
          <w:rFonts w:ascii="Arial" w:hAnsi="Arial" w:eastAsia="华文新魏" w:cs="Arial"/>
          <w:color w:val="auto"/>
          <w:sz w:val="72"/>
          <w:szCs w:val="72"/>
          <w:highlight w:val="none"/>
        </w:rPr>
      </w:pPr>
    </w:p>
    <w:p>
      <w:pPr>
        <w:snapToGrid w:val="0"/>
        <w:spacing w:before="156" w:beforeLines="50" w:line="288" w:lineRule="auto"/>
        <w:jc w:val="center"/>
        <w:rPr>
          <w:rFonts w:ascii="Arial" w:hAnsi="Arial" w:eastAsia="华文新魏" w:cs="Arial"/>
          <w:color w:val="auto"/>
          <w:sz w:val="72"/>
          <w:szCs w:val="72"/>
          <w:highlight w:val="none"/>
        </w:rPr>
      </w:pPr>
    </w:p>
    <w:p>
      <w:pPr>
        <w:spacing w:line="288" w:lineRule="auto"/>
        <w:jc w:val="center"/>
        <w:rPr>
          <w:rFonts w:ascii="Arial" w:hAnsi="Arial" w:cs="Arial"/>
          <w:b/>
          <w:color w:val="auto"/>
          <w:sz w:val="44"/>
          <w:szCs w:val="44"/>
          <w:highlight w:val="none"/>
        </w:rPr>
      </w:pPr>
      <w:r>
        <w:rPr>
          <w:rFonts w:ascii="Arial" w:hAnsi="Arial" w:cs="Arial"/>
          <w:b/>
          <w:color w:val="auto"/>
          <w:sz w:val="44"/>
          <w:szCs w:val="44"/>
          <w:highlight w:val="none"/>
        </w:rPr>
        <w:t>目   录</w:t>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b/>
          <w:color w:val="auto"/>
          <w:sz w:val="28"/>
          <w:szCs w:val="28"/>
          <w:highlight w:val="none"/>
        </w:rPr>
        <w:fldChar w:fldCharType="begin"/>
      </w:r>
      <w:r>
        <w:rPr>
          <w:rFonts w:ascii="Arial" w:hAnsi="Arial" w:cs="Arial"/>
          <w:b/>
          <w:color w:val="auto"/>
          <w:sz w:val="28"/>
          <w:szCs w:val="28"/>
          <w:highlight w:val="none"/>
        </w:rPr>
        <w:instrText xml:space="preserve"> TOC \o "1-3" \h \z \u </w:instrText>
      </w:r>
      <w:r>
        <w:rPr>
          <w:rFonts w:ascii="Arial" w:hAnsi="Arial" w:cs="Arial"/>
          <w:b/>
          <w:color w:val="auto"/>
          <w:sz w:val="28"/>
          <w:szCs w:val="28"/>
          <w:highlight w:val="none"/>
        </w:rPr>
        <w:fldChar w:fldCharType="separate"/>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_Toc19185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第一章 竞争性磋商公告</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_Toc19185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1</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_Toc7321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第二章 供应商须知</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_Toc7321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3</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_Toc29079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第三章 采购需求</w:t>
      </w:r>
      <w:bookmarkStart w:id="126" w:name="_GoBack"/>
      <w:bookmarkEnd w:id="126"/>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_Toc29079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17</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_Toc30328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第四章 评审程序、评审方法和评审标准</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_Toc30328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22</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_Toc8136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第五章 响应文件格式</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_Toc8136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30</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_Toc20138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第六章 合同文本</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_Toc20138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44</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pPr>
        <w:pStyle w:val="28"/>
        <w:spacing w:line="288" w:lineRule="auto"/>
        <w:ind w:left="0" w:leftChars="0"/>
        <w:rPr>
          <w:rFonts w:ascii="Arial" w:hAnsi="Arial" w:cs="Arial"/>
          <w:color w:val="auto"/>
          <w:sz w:val="28"/>
          <w:szCs w:val="28"/>
          <w:highlight w:val="none"/>
        </w:rPr>
      </w:pPr>
      <w:r>
        <w:rPr>
          <w:rFonts w:ascii="Arial" w:hAnsi="Arial" w:cs="Arial"/>
          <w:color w:val="auto"/>
          <w:sz w:val="28"/>
          <w:szCs w:val="28"/>
          <w:highlight w:val="none"/>
        </w:rPr>
        <w:fldChar w:fldCharType="end"/>
      </w:r>
    </w:p>
    <w:p>
      <w:pPr>
        <w:spacing w:line="288" w:lineRule="auto"/>
        <w:jc w:val="left"/>
        <w:rPr>
          <w:rFonts w:ascii="Arial" w:hAnsi="Arial" w:cs="Arial"/>
          <w:b/>
          <w:color w:val="auto"/>
          <w:sz w:val="32"/>
          <w:szCs w:val="32"/>
          <w:highlight w:val="none"/>
        </w:rPr>
      </w:pPr>
    </w:p>
    <w:p>
      <w:pPr>
        <w:spacing w:line="288" w:lineRule="auto"/>
        <w:jc w:val="center"/>
        <w:rPr>
          <w:rFonts w:ascii="Arial" w:hAnsi="Arial" w:cs="Arial"/>
          <w:b/>
          <w:color w:val="auto"/>
          <w:sz w:val="32"/>
          <w:szCs w:val="32"/>
          <w:highlight w:val="none"/>
        </w:rPr>
      </w:pPr>
    </w:p>
    <w:p>
      <w:pPr>
        <w:spacing w:line="288" w:lineRule="auto"/>
        <w:rPr>
          <w:rFonts w:ascii="Arial" w:hAnsi="Arial" w:cs="Arial"/>
          <w:b/>
          <w:color w:val="auto"/>
          <w:sz w:val="32"/>
          <w:szCs w:val="32"/>
          <w:highlight w:val="none"/>
        </w:rPr>
        <w:sectPr>
          <w:headerReference r:id="rId4" w:type="first"/>
          <w:headerReference r:id="rId3" w:type="default"/>
          <w:pgSz w:w="11906" w:h="16838"/>
          <w:pgMar w:top="1417" w:right="1417" w:bottom="1417" w:left="1417" w:header="851" w:footer="132" w:gutter="0"/>
          <w:cols w:space="720" w:num="1"/>
          <w:titlePg/>
          <w:docGrid w:type="lines" w:linePitch="312" w:charSpace="0"/>
        </w:sectPr>
      </w:pPr>
    </w:p>
    <w:p>
      <w:pPr>
        <w:pStyle w:val="3"/>
        <w:snapToGrid w:val="0"/>
        <w:spacing w:before="0" w:after="0" w:line="288" w:lineRule="auto"/>
        <w:jc w:val="center"/>
        <w:rPr>
          <w:rFonts w:ascii="Arial" w:hAnsi="Arial" w:cs="Arial"/>
          <w:color w:val="auto"/>
          <w:highlight w:val="none"/>
        </w:rPr>
      </w:pPr>
      <w:bookmarkStart w:id="0" w:name="_Toc19185"/>
      <w:bookmarkStart w:id="1" w:name="_Toc44229877"/>
      <w:r>
        <w:rPr>
          <w:rFonts w:ascii="Arial" w:hAnsi="Arial" w:cs="Arial"/>
          <w:color w:val="auto"/>
          <w:highlight w:val="none"/>
        </w:rPr>
        <w:t>第一章 竞争性磋商公告</w:t>
      </w:r>
      <w:bookmarkEnd w:id="0"/>
      <w:bookmarkEnd w:id="1"/>
    </w:p>
    <w:p>
      <w:pPr>
        <w:snapToGrid w:val="0"/>
        <w:spacing w:line="300" w:lineRule="auto"/>
        <w:jc w:val="center"/>
        <w:rPr>
          <w:rFonts w:ascii="Arial" w:hAnsi="Arial" w:cs="Arial"/>
          <w:color w:val="auto"/>
          <w:szCs w:val="21"/>
          <w:highlight w:val="none"/>
        </w:rPr>
      </w:pPr>
      <w:r>
        <w:rPr>
          <w:rFonts w:ascii="Arial" w:hAnsi="Arial" w:cs="Arial"/>
          <w:color w:val="auto"/>
          <w:kern w:val="0"/>
          <w:sz w:val="24"/>
          <w:highlight w:val="none"/>
        </w:rPr>
        <w:t>广西机电设备招标有限公司关于</w:t>
      </w:r>
      <w:bookmarkStart w:id="2" w:name="OLE_LINK1"/>
      <w:r>
        <w:rPr>
          <w:rFonts w:hint="eastAsia" w:ascii="Arial" w:hAnsi="Arial" w:cs="Arial"/>
          <w:color w:val="auto"/>
          <w:kern w:val="0"/>
          <w:sz w:val="24"/>
          <w:highlight w:val="none"/>
          <w:lang w:eastAsia="zh-CN"/>
        </w:rPr>
        <w:t>兴安县人民医院</w:t>
      </w:r>
      <w:bookmarkEnd w:id="2"/>
      <w:r>
        <w:rPr>
          <w:rFonts w:hint="eastAsia" w:ascii="Arial" w:hAnsi="Arial" w:cs="Arial"/>
          <w:color w:val="auto"/>
          <w:kern w:val="0"/>
          <w:sz w:val="24"/>
          <w:highlight w:val="none"/>
          <w:lang w:eastAsia="zh-CN"/>
        </w:rPr>
        <w:t>整体搬迁项目（一期）医疗工艺设计咨询服务</w:t>
      </w:r>
      <w:r>
        <w:rPr>
          <w:rFonts w:ascii="Arial" w:hAnsi="Arial" w:cs="Arial"/>
          <w:color w:val="auto"/>
          <w:sz w:val="24"/>
          <w:highlight w:val="none"/>
        </w:rPr>
        <w:t>(</w:t>
      </w:r>
      <w:r>
        <w:rPr>
          <w:rFonts w:hint="eastAsia" w:ascii="Arial" w:hAnsi="Arial" w:cs="Arial"/>
          <w:color w:val="auto"/>
          <w:sz w:val="24"/>
          <w:highlight w:val="none"/>
          <w:lang w:eastAsia="zh-CN"/>
        </w:rPr>
        <w:t>GLZC2025-C3-250092-JDZB</w:t>
      </w:r>
      <w:r>
        <w:rPr>
          <w:rFonts w:ascii="Arial" w:hAnsi="Arial" w:cs="Arial"/>
          <w:color w:val="auto"/>
          <w:sz w:val="24"/>
          <w:highlight w:val="none"/>
        </w:rPr>
        <w:t>)</w:t>
      </w:r>
      <w:r>
        <w:rPr>
          <w:rFonts w:ascii="Arial" w:hAnsi="Arial" w:cs="Arial"/>
          <w:color w:val="auto"/>
          <w:kern w:val="0"/>
          <w:sz w:val="24"/>
          <w:highlight w:val="none"/>
        </w:rPr>
        <w:t>竞争性磋商公告</w:t>
      </w:r>
      <w:bookmarkStart w:id="3" w:name="_Hlk132795121"/>
    </w:p>
    <w:p>
      <w:pPr>
        <w:snapToGrid w:val="0"/>
        <w:spacing w:line="300" w:lineRule="auto"/>
        <w:ind w:firstLine="420" w:firstLineChars="200"/>
        <w:jc w:val="left"/>
        <w:rPr>
          <w:rFonts w:ascii="Arial" w:hAnsi="Arial" w:cs="Arial"/>
          <w:b/>
          <w:bCs/>
          <w:color w:val="auto"/>
          <w:kern w:val="0"/>
          <w:szCs w:val="21"/>
          <w:highlight w:val="none"/>
        </w:rPr>
      </w:pPr>
      <w:r>
        <w:rPr>
          <w:rFonts w:ascii="Arial" w:hAnsi="Arial" w:cs="Arial"/>
          <w:color w:val="auto"/>
          <w:szCs w:val="21"/>
          <w:highlight w:val="none"/>
        </w:rPr>
        <w:t>项目概况：</w:t>
      </w:r>
      <w:r>
        <w:rPr>
          <w:rFonts w:hint="eastAsia" w:ascii="Arial" w:hAnsi="Arial" w:cs="Arial"/>
          <w:color w:val="auto"/>
          <w:kern w:val="0"/>
          <w:szCs w:val="21"/>
          <w:highlight w:val="none"/>
          <w:lang w:eastAsia="zh-CN"/>
        </w:rPr>
        <w:t>兴安县人民医院整体搬迁项目（一期）医疗工艺设计咨询服务</w:t>
      </w:r>
      <w:r>
        <w:rPr>
          <w:rFonts w:ascii="Arial" w:hAnsi="Arial" w:cs="Arial"/>
          <w:color w:val="auto"/>
          <w:szCs w:val="21"/>
          <w:highlight w:val="none"/>
        </w:rPr>
        <w:t>采购项目的潜在供应商应在广西政府采购云平台 （https://www.gcy.zfcg.gxzf.gov.cn/）获取采购文件，并于2025年</w:t>
      </w:r>
      <w:r>
        <w:rPr>
          <w:rFonts w:hint="eastAsia" w:ascii="Arial" w:hAnsi="Arial" w:cs="Arial"/>
          <w:color w:val="auto"/>
          <w:szCs w:val="21"/>
          <w:highlight w:val="none"/>
          <w:lang w:val="en-US" w:eastAsia="zh-CN"/>
        </w:rPr>
        <w:t>10</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28</w:t>
      </w:r>
      <w:r>
        <w:rPr>
          <w:rFonts w:hint="eastAsia" w:ascii="Arial" w:hAnsi="Arial" w:cs="Arial"/>
          <w:color w:val="auto"/>
          <w:szCs w:val="21"/>
          <w:highlight w:val="none"/>
        </w:rPr>
        <w:t xml:space="preserve"> 日</w:t>
      </w:r>
      <w:r>
        <w:rPr>
          <w:rFonts w:ascii="Arial" w:hAnsi="Arial" w:cs="Arial"/>
          <w:color w:val="auto"/>
          <w:szCs w:val="21"/>
          <w:highlight w:val="none"/>
        </w:rPr>
        <w:t xml:space="preserve"> 09:30（北京时间）前提交响应文件。</w:t>
      </w:r>
      <w:bookmarkEnd w:id="3"/>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一、项目基本情况</w:t>
      </w:r>
    </w:p>
    <w:p>
      <w:pPr>
        <w:snapToGrid w:val="0"/>
        <w:spacing w:line="300"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kern w:val="0"/>
          <w:szCs w:val="21"/>
          <w:highlight w:val="none"/>
          <w:lang w:eastAsia="zh-CN"/>
        </w:rPr>
        <w:t>GLZC2025-C3-250092-JDZB</w:t>
      </w:r>
    </w:p>
    <w:p>
      <w:pPr>
        <w:snapToGrid w:val="0"/>
        <w:spacing w:line="300"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兴安县人民医院整体搬迁项目（一期）医疗工艺设计咨询服务</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采购方式：竞争性磋商</w:t>
      </w:r>
    </w:p>
    <w:p>
      <w:pPr>
        <w:snapToGrid w:val="0"/>
        <w:spacing w:line="300" w:lineRule="auto"/>
        <w:ind w:firstLine="420" w:firstLineChars="200"/>
        <w:jc w:val="left"/>
        <w:rPr>
          <w:rFonts w:hint="eastAsia" w:ascii="Arial" w:hAnsi="Arial" w:cs="Arial"/>
          <w:color w:val="auto"/>
          <w:kern w:val="0"/>
          <w:szCs w:val="21"/>
          <w:highlight w:val="none"/>
        </w:rPr>
      </w:pPr>
      <w:r>
        <w:rPr>
          <w:rFonts w:ascii="Arial" w:hAnsi="Arial" w:cs="Arial"/>
          <w:color w:val="auto"/>
          <w:kern w:val="0"/>
          <w:szCs w:val="21"/>
          <w:highlight w:val="none"/>
        </w:rPr>
        <w:t>预算总金额（元）：</w:t>
      </w:r>
      <w:bookmarkStart w:id="4" w:name="OLE_LINK3"/>
      <w:r>
        <w:rPr>
          <w:rFonts w:hint="eastAsia" w:ascii="Arial" w:hAnsi="Arial" w:cs="Arial"/>
          <w:color w:val="auto"/>
          <w:kern w:val="0"/>
          <w:szCs w:val="21"/>
          <w:highlight w:val="none"/>
        </w:rPr>
        <w:t>1086000</w:t>
      </w:r>
      <w:bookmarkEnd w:id="4"/>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采购需求：</w:t>
      </w:r>
      <w:bookmarkStart w:id="5" w:name="_Hlk77608065"/>
    </w:p>
    <w:p>
      <w:pPr>
        <w:snapToGrid w:val="0"/>
        <w:spacing w:line="300" w:lineRule="auto"/>
        <w:ind w:firstLine="735" w:firstLineChars="35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兴安县人民医院整体搬迁项目（一期）医疗工艺设计咨询服务</w:t>
      </w:r>
    </w:p>
    <w:p>
      <w:pPr>
        <w:snapToGrid w:val="0"/>
        <w:spacing w:line="300"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数量：1</w:t>
      </w:r>
    </w:p>
    <w:p>
      <w:pPr>
        <w:snapToGrid w:val="0"/>
        <w:spacing w:line="300" w:lineRule="auto"/>
        <w:ind w:firstLine="735" w:firstLineChars="350"/>
        <w:jc w:val="left"/>
        <w:rPr>
          <w:rFonts w:hint="eastAsia" w:ascii="Arial" w:hAnsi="Arial" w:cs="Arial"/>
          <w:color w:val="auto"/>
          <w:kern w:val="0"/>
          <w:szCs w:val="21"/>
          <w:highlight w:val="none"/>
        </w:rPr>
      </w:pPr>
      <w:r>
        <w:rPr>
          <w:rFonts w:ascii="Arial" w:hAnsi="Arial" w:cs="Arial"/>
          <w:color w:val="auto"/>
          <w:kern w:val="0"/>
          <w:szCs w:val="21"/>
          <w:highlight w:val="none"/>
        </w:rPr>
        <w:t>预算金额（元）：</w:t>
      </w:r>
      <w:r>
        <w:rPr>
          <w:rFonts w:hint="eastAsia" w:ascii="Arial" w:hAnsi="Arial" w:cs="Arial"/>
          <w:color w:val="auto"/>
          <w:kern w:val="0"/>
          <w:szCs w:val="21"/>
          <w:highlight w:val="none"/>
        </w:rPr>
        <w:t>1086000</w:t>
      </w:r>
    </w:p>
    <w:p>
      <w:pPr>
        <w:snapToGrid w:val="0"/>
        <w:spacing w:line="300"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兴安县人民医院整体搬迁项目（一期）医疗工艺设计咨询服务</w:t>
      </w:r>
      <w:r>
        <w:rPr>
          <w:rFonts w:ascii="Arial" w:hAnsi="Arial" w:cs="Arial"/>
          <w:color w:val="auto"/>
          <w:kern w:val="0"/>
          <w:szCs w:val="21"/>
          <w:highlight w:val="none"/>
        </w:rPr>
        <w:t>1项</w:t>
      </w:r>
    </w:p>
    <w:p>
      <w:pPr>
        <w:snapToGrid w:val="0"/>
        <w:spacing w:line="300" w:lineRule="auto"/>
        <w:ind w:firstLine="735" w:firstLineChars="350"/>
        <w:jc w:val="left"/>
        <w:rPr>
          <w:rFonts w:hint="eastAsia" w:ascii="Arial" w:hAnsi="Arial" w:cs="Arial"/>
          <w:color w:val="auto"/>
          <w:kern w:val="0"/>
          <w:szCs w:val="21"/>
          <w:highlight w:val="none"/>
        </w:rPr>
      </w:pPr>
      <w:r>
        <w:rPr>
          <w:rFonts w:ascii="Arial" w:hAnsi="Arial" w:cs="Arial"/>
          <w:color w:val="auto"/>
          <w:kern w:val="0"/>
          <w:szCs w:val="21"/>
          <w:highlight w:val="none"/>
        </w:rPr>
        <w:t>最高限价（如有）：</w:t>
      </w:r>
      <w:r>
        <w:rPr>
          <w:rFonts w:hint="eastAsia" w:ascii="Arial" w:hAnsi="Arial" w:cs="Arial"/>
          <w:color w:val="auto"/>
          <w:kern w:val="0"/>
          <w:szCs w:val="21"/>
          <w:highlight w:val="none"/>
        </w:rPr>
        <w:t>1086000</w:t>
      </w:r>
    </w:p>
    <w:p>
      <w:pPr>
        <w:snapToGrid w:val="0"/>
        <w:spacing w:line="300" w:lineRule="auto"/>
        <w:ind w:firstLine="735" w:firstLineChars="350"/>
        <w:jc w:val="left"/>
        <w:rPr>
          <w:rFonts w:hint="default" w:ascii="Arial" w:hAnsi="Arial" w:cs="Arial"/>
          <w:color w:val="auto"/>
          <w:kern w:val="0"/>
          <w:szCs w:val="21"/>
          <w:highlight w:val="none"/>
          <w:lang w:val="en-US"/>
        </w:rPr>
      </w:pPr>
      <w:r>
        <w:rPr>
          <w:rFonts w:ascii="Arial" w:hAnsi="Arial" w:cs="Arial"/>
          <w:color w:val="auto"/>
          <w:kern w:val="0"/>
          <w:szCs w:val="21"/>
          <w:highlight w:val="none"/>
        </w:rPr>
        <w:t>合同履约期限：</w:t>
      </w:r>
      <w:r>
        <w:rPr>
          <w:rFonts w:hint="eastAsia" w:ascii="Arial" w:hAnsi="Arial" w:cs="Arial"/>
          <w:color w:val="auto"/>
          <w:kern w:val="0"/>
          <w:szCs w:val="21"/>
          <w:highlight w:val="none"/>
          <w:lang w:val="en-US" w:eastAsia="zh-CN"/>
        </w:rPr>
        <w:t>施工图审查通过后。</w:t>
      </w:r>
    </w:p>
    <w:p>
      <w:pPr>
        <w:snapToGrid w:val="0"/>
        <w:spacing w:line="300"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本项目（</w:t>
      </w:r>
      <w:r>
        <w:rPr>
          <w:rFonts w:ascii="Arial" w:hAnsi="Arial" w:cs="Arial"/>
          <w:color w:val="auto"/>
          <w:szCs w:val="21"/>
          <w:highlight w:val="none"/>
        </w:rPr>
        <w:t>否</w:t>
      </w:r>
      <w:r>
        <w:rPr>
          <w:rFonts w:ascii="Arial" w:hAnsi="Arial" w:cs="Arial"/>
          <w:color w:val="auto"/>
          <w:kern w:val="0"/>
          <w:szCs w:val="21"/>
          <w:highlight w:val="none"/>
        </w:rPr>
        <w:t>）接受联合体。</w:t>
      </w:r>
    </w:p>
    <w:p>
      <w:pPr>
        <w:snapToGrid w:val="0"/>
        <w:spacing w:line="300"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备注：</w:t>
      </w:r>
    </w:p>
    <w:bookmarkEnd w:id="5"/>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二、申请人的资格要求</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1.满足《中华人民共和国政府采购法》第二十二条规定；</w:t>
      </w:r>
      <w:r>
        <w:rPr>
          <w:rFonts w:ascii="Arial" w:hAnsi="Arial" w:cs="Arial"/>
          <w:color w:val="auto"/>
          <w:szCs w:val="21"/>
          <w:highlight w:val="none"/>
        </w:rPr>
        <w:t xml:space="preserve"> </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2.落实政府采购政策需满足的资格要求：本项目专门面向中小微企业采购</w:t>
      </w:r>
      <w:r>
        <w:rPr>
          <w:rFonts w:hint="eastAsia" w:ascii="Arial" w:hAnsi="Arial" w:cs="Arial"/>
          <w:color w:val="auto"/>
          <w:szCs w:val="21"/>
          <w:highlight w:val="none"/>
        </w:rPr>
        <w:t>，供应商为中小企业、监狱企业或残疾人福利性单位</w:t>
      </w:r>
      <w:r>
        <w:rPr>
          <w:rFonts w:ascii="Arial" w:hAnsi="Arial" w:cs="Arial"/>
          <w:color w:val="auto"/>
          <w:szCs w:val="21"/>
          <w:highlight w:val="none"/>
        </w:rPr>
        <w:t>；</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（1）资质要求：无。</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（4）未被列入失信被执行人、重大税收违法失信主体、政府采购严重违法失信行为记录名单。</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（5）本项目不接受联合体。</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三、获取采购文件</w:t>
      </w:r>
    </w:p>
    <w:p>
      <w:pPr>
        <w:snapToGrid w:val="0"/>
        <w:spacing w:line="300" w:lineRule="auto"/>
        <w:ind w:firstLine="420" w:firstLineChars="200"/>
        <w:rPr>
          <w:rFonts w:ascii="Arial" w:hAnsi="Arial" w:cs="Arial"/>
          <w:bCs/>
          <w:color w:val="auto"/>
          <w:kern w:val="0"/>
          <w:szCs w:val="21"/>
          <w:highlight w:val="none"/>
        </w:rPr>
      </w:pPr>
      <w:r>
        <w:rPr>
          <w:rFonts w:ascii="Arial" w:hAnsi="Arial" w:cs="Arial"/>
          <w:color w:val="auto"/>
          <w:szCs w:val="21"/>
          <w:highlight w:val="none"/>
        </w:rPr>
        <w:t>时间：2025年</w:t>
      </w:r>
      <w:r>
        <w:rPr>
          <w:rFonts w:hint="eastAsia" w:ascii="Arial" w:hAnsi="Arial" w:cs="Arial"/>
          <w:color w:val="auto"/>
          <w:szCs w:val="21"/>
          <w:highlight w:val="none"/>
          <w:lang w:val="en-US" w:eastAsia="zh-CN"/>
        </w:rPr>
        <w:t>10</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17</w:t>
      </w:r>
      <w:r>
        <w:rPr>
          <w:rFonts w:hint="eastAsia" w:ascii="Arial" w:hAnsi="Arial" w:cs="Arial"/>
          <w:color w:val="auto"/>
          <w:szCs w:val="21"/>
          <w:highlight w:val="none"/>
        </w:rPr>
        <w:t>日</w:t>
      </w:r>
      <w:r>
        <w:rPr>
          <w:rFonts w:ascii="Arial" w:hAnsi="Arial" w:cs="Arial"/>
          <w:color w:val="auto"/>
          <w:szCs w:val="21"/>
          <w:highlight w:val="none"/>
        </w:rPr>
        <w:t>至2025年</w:t>
      </w:r>
      <w:r>
        <w:rPr>
          <w:rFonts w:hint="eastAsia" w:ascii="Arial" w:hAnsi="Arial" w:cs="Arial"/>
          <w:color w:val="auto"/>
          <w:szCs w:val="21"/>
          <w:highlight w:val="none"/>
          <w:lang w:val="en-US" w:eastAsia="zh-CN"/>
        </w:rPr>
        <w:t>10</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24</w:t>
      </w:r>
      <w:r>
        <w:rPr>
          <w:rFonts w:hint="eastAsia" w:ascii="Arial" w:hAnsi="Arial" w:cs="Arial"/>
          <w:color w:val="auto"/>
          <w:szCs w:val="21"/>
          <w:highlight w:val="none"/>
        </w:rPr>
        <w:t>日</w:t>
      </w:r>
      <w:r>
        <w:rPr>
          <w:rFonts w:ascii="Arial" w:hAnsi="Arial" w:cs="Arial"/>
          <w:color w:val="auto"/>
          <w:szCs w:val="21"/>
          <w:highlight w:val="none"/>
        </w:rPr>
        <w:t>，</w:t>
      </w:r>
      <w:r>
        <w:rPr>
          <w:rFonts w:ascii="Arial" w:hAnsi="Arial" w:cs="Arial"/>
          <w:bCs/>
          <w:color w:val="auto"/>
          <w:kern w:val="0"/>
          <w:szCs w:val="21"/>
          <w:highlight w:val="none"/>
        </w:rPr>
        <w:t>每天上午00：00时至12:00时，下午12:00时至</w:t>
      </w:r>
      <w:r>
        <w:rPr>
          <w:rFonts w:ascii="Arial" w:hAnsi="Arial" w:cs="Arial"/>
          <w:color w:val="auto"/>
          <w:szCs w:val="21"/>
          <w:highlight w:val="none"/>
        </w:rPr>
        <w:t>23:59时</w:t>
      </w:r>
      <w:r>
        <w:rPr>
          <w:rFonts w:ascii="Arial" w:hAnsi="Arial" w:cs="Arial"/>
          <w:bCs/>
          <w:color w:val="auto"/>
          <w:kern w:val="0"/>
          <w:szCs w:val="21"/>
          <w:highlight w:val="none"/>
        </w:rPr>
        <w:t>（北京时间，法定节假日除外）</w:t>
      </w:r>
    </w:p>
    <w:p>
      <w:pPr>
        <w:snapToGrid w:val="0"/>
        <w:spacing w:line="300" w:lineRule="auto"/>
        <w:ind w:firstLine="420" w:firstLineChars="200"/>
        <w:rPr>
          <w:rFonts w:ascii="Arial" w:hAnsi="Arial" w:cs="Arial"/>
          <w:color w:val="auto"/>
          <w:szCs w:val="21"/>
          <w:highlight w:val="none"/>
          <w:u w:val="single"/>
        </w:rPr>
      </w:pPr>
      <w:r>
        <w:rPr>
          <w:rFonts w:ascii="Arial" w:hAnsi="Arial" w:cs="Arial"/>
          <w:bCs/>
          <w:color w:val="auto"/>
          <w:kern w:val="0"/>
          <w:szCs w:val="21"/>
          <w:highlight w:val="none"/>
        </w:rPr>
        <w:t>地点：广西政府采购云平台（https://www.gcy.zfcg.gxzf.gov.cn/）</w:t>
      </w:r>
    </w:p>
    <w:p>
      <w:pPr>
        <w:snapToGrid w:val="0"/>
        <w:spacing w:line="300" w:lineRule="auto"/>
        <w:ind w:firstLine="420" w:firstLineChars="200"/>
        <w:jc w:val="left"/>
        <w:rPr>
          <w:rFonts w:ascii="Arial" w:hAnsi="Arial" w:cs="Arial"/>
          <w:color w:val="auto"/>
          <w:szCs w:val="21"/>
          <w:highlight w:val="none"/>
        </w:rPr>
      </w:pPr>
      <w:r>
        <w:rPr>
          <w:rFonts w:ascii="Arial" w:hAnsi="Arial" w:cs="Arial"/>
          <w:bCs/>
          <w:color w:val="auto"/>
          <w:kern w:val="0"/>
          <w:szCs w:val="21"/>
          <w:highlight w:val="none"/>
        </w:rPr>
        <w:t>方式</w:t>
      </w:r>
      <w:r>
        <w:rPr>
          <w:rFonts w:ascii="Arial" w:hAnsi="Arial" w:cs="Arial"/>
          <w:color w:val="auto"/>
          <w:szCs w:val="21"/>
          <w:highlight w:val="none"/>
          <w:u w:val="single"/>
        </w:rPr>
        <w:t>：供应商登录广西政府采购云平台https://www.gcy.zfcg.gxzf.gov.cn/在线申请获取采购文件（进入“项目采购”应用，在获取采购文件菜单中选择项目，申请获取采购文件）</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售价（元）：0</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四、响应文件提交</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截止时间：</w:t>
      </w:r>
      <w:r>
        <w:rPr>
          <w:rFonts w:ascii="Arial" w:hAnsi="Arial" w:cs="Arial"/>
          <w:color w:val="auto"/>
          <w:szCs w:val="21"/>
          <w:highlight w:val="none"/>
        </w:rPr>
        <w:t>2025年</w:t>
      </w:r>
      <w:r>
        <w:rPr>
          <w:rFonts w:hint="eastAsia" w:ascii="Arial" w:hAnsi="Arial" w:cs="Arial"/>
          <w:color w:val="auto"/>
          <w:szCs w:val="21"/>
          <w:highlight w:val="none"/>
          <w:lang w:val="en-US" w:eastAsia="zh-CN"/>
        </w:rPr>
        <w:t>10</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28</w:t>
      </w:r>
      <w:r>
        <w:rPr>
          <w:rFonts w:hint="eastAsia" w:ascii="Arial" w:hAnsi="Arial" w:cs="Arial"/>
          <w:color w:val="auto"/>
          <w:szCs w:val="21"/>
          <w:highlight w:val="none"/>
        </w:rPr>
        <w:t>日</w:t>
      </w:r>
      <w:r>
        <w:rPr>
          <w:rFonts w:ascii="Arial" w:hAnsi="Arial" w:cs="Arial"/>
          <w:color w:val="auto"/>
          <w:szCs w:val="21"/>
          <w:highlight w:val="none"/>
        </w:rPr>
        <w:t>9时30分</w:t>
      </w:r>
      <w:r>
        <w:rPr>
          <w:rFonts w:ascii="Arial" w:hAnsi="Arial" w:cs="Arial"/>
          <w:color w:val="auto"/>
          <w:kern w:val="0"/>
          <w:szCs w:val="21"/>
          <w:highlight w:val="none"/>
        </w:rPr>
        <w:t>（北京时间）</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地点（网址）：</w:t>
      </w:r>
      <w:r>
        <w:rPr>
          <w:rFonts w:ascii="Arial" w:hAnsi="Arial" w:cs="Arial"/>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五、开启</w:t>
      </w:r>
    </w:p>
    <w:p>
      <w:pPr>
        <w:snapToGrid w:val="0"/>
        <w:spacing w:line="300" w:lineRule="auto"/>
        <w:ind w:firstLine="422" w:firstLineChars="200"/>
        <w:jc w:val="left"/>
        <w:rPr>
          <w:rFonts w:ascii="Arial" w:hAnsi="Arial" w:cs="Arial"/>
          <w:color w:val="auto"/>
          <w:kern w:val="0"/>
          <w:szCs w:val="21"/>
          <w:highlight w:val="none"/>
        </w:rPr>
      </w:pPr>
      <w:r>
        <w:rPr>
          <w:rFonts w:ascii="Arial" w:hAnsi="Arial" w:cs="Arial"/>
          <w:b/>
          <w:bCs/>
          <w:color w:val="auto"/>
          <w:kern w:val="0"/>
          <w:szCs w:val="21"/>
          <w:highlight w:val="none"/>
        </w:rPr>
        <w:t>开启时间：</w:t>
      </w:r>
      <w:r>
        <w:rPr>
          <w:rFonts w:ascii="Arial" w:hAnsi="Arial" w:cs="Arial"/>
          <w:color w:val="auto"/>
          <w:szCs w:val="21"/>
          <w:highlight w:val="none"/>
        </w:rPr>
        <w:t>2025年</w:t>
      </w:r>
      <w:r>
        <w:rPr>
          <w:rFonts w:hint="eastAsia" w:ascii="Arial" w:hAnsi="Arial" w:cs="Arial"/>
          <w:color w:val="auto"/>
          <w:szCs w:val="21"/>
          <w:highlight w:val="none"/>
          <w:lang w:val="en-US" w:eastAsia="zh-CN"/>
        </w:rPr>
        <w:t>10</w:t>
      </w:r>
      <w:r>
        <w:rPr>
          <w:rFonts w:hint="eastAsia" w:ascii="Arial" w:hAnsi="Arial" w:cs="Arial"/>
          <w:color w:val="auto"/>
          <w:szCs w:val="21"/>
          <w:highlight w:val="none"/>
        </w:rPr>
        <w:t xml:space="preserve"> 月</w:t>
      </w:r>
      <w:r>
        <w:rPr>
          <w:rFonts w:hint="eastAsia" w:ascii="Arial" w:hAnsi="Arial" w:cs="Arial"/>
          <w:color w:val="auto"/>
          <w:szCs w:val="21"/>
          <w:highlight w:val="none"/>
          <w:lang w:val="en-US" w:eastAsia="zh-CN"/>
        </w:rPr>
        <w:t>28</w:t>
      </w:r>
      <w:r>
        <w:rPr>
          <w:rFonts w:hint="eastAsia" w:ascii="Arial" w:hAnsi="Arial" w:cs="Arial"/>
          <w:color w:val="auto"/>
          <w:szCs w:val="21"/>
          <w:highlight w:val="none"/>
        </w:rPr>
        <w:t xml:space="preserve"> 日</w:t>
      </w:r>
      <w:r>
        <w:rPr>
          <w:rFonts w:ascii="Arial" w:hAnsi="Arial" w:cs="Arial"/>
          <w:color w:val="auto"/>
          <w:szCs w:val="21"/>
          <w:highlight w:val="none"/>
        </w:rPr>
        <w:t>9时30分</w:t>
      </w:r>
      <w:r>
        <w:rPr>
          <w:rFonts w:ascii="Arial" w:hAnsi="Arial" w:cs="Arial"/>
          <w:color w:val="auto"/>
          <w:kern w:val="0"/>
          <w:szCs w:val="21"/>
          <w:highlight w:val="none"/>
        </w:rPr>
        <w:t>（北京时间）</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地点：</w:t>
      </w:r>
      <w:r>
        <w:rPr>
          <w:rFonts w:ascii="Arial" w:hAnsi="Arial" w:cs="Arial"/>
          <w:color w:val="auto"/>
          <w:szCs w:val="21"/>
          <w:highlight w:val="none"/>
        </w:rPr>
        <w:t>供应商登录广西政府采购云平台电子开标大厅截标。</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六、公告期限</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pPr>
        <w:snapToGrid w:val="0"/>
        <w:spacing w:line="300" w:lineRule="auto"/>
        <w:ind w:firstLine="422" w:firstLineChars="200"/>
        <w:jc w:val="left"/>
        <w:rPr>
          <w:rFonts w:ascii="Arial" w:hAnsi="Arial" w:cs="Arial"/>
          <w:b/>
          <w:bCs/>
          <w:color w:val="auto"/>
          <w:kern w:val="0"/>
          <w:szCs w:val="21"/>
          <w:highlight w:val="none"/>
        </w:rPr>
      </w:pPr>
      <w:r>
        <w:rPr>
          <w:rFonts w:ascii="Arial" w:hAnsi="Arial" w:cs="Arial"/>
          <w:b/>
          <w:bCs/>
          <w:color w:val="auto"/>
          <w:kern w:val="0"/>
          <w:szCs w:val="21"/>
          <w:highlight w:val="none"/>
        </w:rPr>
        <w:t>七、其他补充事宜</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1.公告发布媒体：桂林市政府采购网、广西政府采购网、中国政府采购网</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2.需落实的政府采购政策：本项目适用政府采购促进中小企业、监狱企业发展、促进残疾人就业、节能环保等有关政策，具体详见采购文件。</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3.本项目供应商的产生方式：</w:t>
      </w:r>
      <w:r>
        <w:rPr>
          <w:rFonts w:ascii="Arial" w:hAnsi="Arial" w:cs="Arial"/>
          <w:color w:val="auto"/>
          <w:szCs w:val="21"/>
          <w:highlight w:val="none"/>
        </w:rPr>
        <w:t>发布公告征集</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4.响应文件解密时间：截标时间后30分钟内供应商可以登录广西政府采购云平台，用“项目采购-开标评标”功能进行解密电子磋商响应文件。若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号政采开标仓</w:t>
      </w:r>
      <w:r>
        <w:rPr>
          <w:rFonts w:ascii="Arial" w:hAnsi="Arial" w:cs="Arial"/>
          <w:color w:val="auto"/>
          <w:kern w:val="0"/>
          <w:szCs w:val="21"/>
          <w:highlight w:val="none"/>
        </w:rPr>
        <w:t>现场提交或以电子邮件的形式（以通知时所告知的电子邮箱地址为准）提交电子备份响应文件】，供应商在规定时间内无法解密或解密失败且未提供电子备份响应文件的(包含提供的电子备份文件无效或无法解密的情况)，视为磋商无效。</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5.注意事项：</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（2）为确保网上操作合法、有效和安全，请供应商确保在电子投标过程中能够对相关数据电文进行加密和使用电子签章，妥善保管CA数字证书并使用有效的CA数字证书参与整个采购活动。</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（3）若对项目采购电子交易系统操作有疑问，可登录广西政府采购云平台（https://www.gcy.zfcg.gxzf.gov.cn/），点击右侧咨询小采或帮助文档或拨打客服热线95763</w:t>
      </w:r>
    </w:p>
    <w:p>
      <w:pPr>
        <w:snapToGrid w:val="0"/>
        <w:spacing w:line="300" w:lineRule="auto"/>
        <w:ind w:firstLine="422" w:firstLineChars="200"/>
        <w:rPr>
          <w:rFonts w:ascii="Arial" w:hAnsi="Arial" w:cs="Arial"/>
          <w:b/>
          <w:bCs/>
          <w:color w:val="auto"/>
          <w:kern w:val="0"/>
          <w:szCs w:val="21"/>
          <w:highlight w:val="none"/>
        </w:rPr>
      </w:pPr>
      <w:r>
        <w:rPr>
          <w:rFonts w:ascii="Arial" w:hAnsi="Arial" w:cs="Arial"/>
          <w:b/>
          <w:bCs/>
          <w:color w:val="auto"/>
          <w:kern w:val="0"/>
          <w:szCs w:val="21"/>
          <w:highlight w:val="none"/>
        </w:rPr>
        <w:t>八、对本次采购提出询问，请按以下方式联系</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pPr>
        <w:snapToGrid w:val="0"/>
        <w:spacing w:line="300" w:lineRule="auto"/>
        <w:ind w:firstLine="420" w:firstLineChars="200"/>
        <w:jc w:val="left"/>
        <w:rPr>
          <w:rFonts w:ascii="Arial" w:hAnsi="Arial" w:cs="Arial"/>
          <w:color w:val="auto"/>
          <w:kern w:val="0"/>
          <w:szCs w:val="21"/>
          <w:highlight w:val="none"/>
          <w:u w:val="single"/>
        </w:rPr>
      </w:pPr>
      <w:bookmarkStart w:id="6" w:name="_Hlk19048373"/>
      <w:r>
        <w:rPr>
          <w:rFonts w:ascii="Arial" w:hAnsi="Arial" w:cs="Arial"/>
          <w:color w:val="auto"/>
          <w:kern w:val="0"/>
          <w:szCs w:val="21"/>
          <w:highlight w:val="none"/>
        </w:rPr>
        <w:t>名称：兴安县人民医院</w:t>
      </w:r>
    </w:p>
    <w:p>
      <w:pPr>
        <w:snapToGrid w:val="0"/>
        <w:spacing w:line="300"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地址：广西壮族自治区桂林市兴安县桂善街78号</w:t>
      </w:r>
    </w:p>
    <w:p>
      <w:pPr>
        <w:snapToGrid w:val="0"/>
        <w:spacing w:line="300"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项目联系方式：0773-6226895</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名称：广西机电设备招标有限公司</w:t>
      </w:r>
    </w:p>
    <w:bookmarkEnd w:id="6"/>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地址：桂林市骖鸾路31号湘商大厦6楼603</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项目联系人：曾昭卉</w:t>
      </w:r>
    </w:p>
    <w:p>
      <w:pPr>
        <w:snapToGrid w:val="0"/>
        <w:spacing w:line="30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电话：0773-3696789转2</w:t>
      </w:r>
    </w:p>
    <w:p>
      <w:pPr>
        <w:snapToGrid w:val="0"/>
        <w:spacing w:line="300"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广西机电设备招标有限公司</w:t>
      </w:r>
    </w:p>
    <w:p>
      <w:pPr>
        <w:snapToGrid w:val="0"/>
        <w:spacing w:line="300"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2025年</w:t>
      </w:r>
      <w:r>
        <w:rPr>
          <w:rFonts w:hint="eastAsia" w:ascii="Arial" w:hAnsi="Arial" w:cs="Arial"/>
          <w:color w:val="auto"/>
          <w:kern w:val="0"/>
          <w:szCs w:val="21"/>
          <w:highlight w:val="none"/>
          <w:lang w:val="en-US" w:eastAsia="zh-CN"/>
        </w:rPr>
        <w:t>10</w:t>
      </w:r>
      <w:r>
        <w:rPr>
          <w:rFonts w:hint="eastAsia" w:ascii="Arial" w:hAnsi="Arial" w:cs="Arial"/>
          <w:color w:val="auto"/>
          <w:kern w:val="0"/>
          <w:szCs w:val="21"/>
          <w:highlight w:val="none"/>
        </w:rPr>
        <w:t>月</w:t>
      </w:r>
      <w:r>
        <w:rPr>
          <w:rFonts w:hint="eastAsia" w:ascii="Arial" w:hAnsi="Arial" w:cs="Arial"/>
          <w:color w:val="auto"/>
          <w:kern w:val="0"/>
          <w:szCs w:val="21"/>
          <w:highlight w:val="none"/>
          <w:lang w:val="en-US" w:eastAsia="zh-CN"/>
        </w:rPr>
        <w:t>17</w:t>
      </w:r>
      <w:r>
        <w:rPr>
          <w:rFonts w:hint="eastAsia" w:ascii="Arial" w:hAnsi="Arial" w:cs="Arial"/>
          <w:color w:val="auto"/>
          <w:kern w:val="0"/>
          <w:szCs w:val="21"/>
          <w:highlight w:val="none"/>
        </w:rPr>
        <w:t>日</w:t>
      </w:r>
    </w:p>
    <w:p>
      <w:pPr>
        <w:spacing w:line="288" w:lineRule="auto"/>
        <w:ind w:firstLine="1265" w:firstLineChars="600"/>
        <w:jc w:val="right"/>
        <w:rPr>
          <w:rFonts w:ascii="Arial" w:hAnsi="Arial" w:cs="Arial"/>
          <w:b/>
          <w:color w:val="auto"/>
          <w:szCs w:val="21"/>
          <w:highlight w:val="none"/>
        </w:rPr>
      </w:pPr>
    </w:p>
    <w:p>
      <w:pPr>
        <w:pStyle w:val="3"/>
        <w:spacing w:line="288" w:lineRule="auto"/>
        <w:jc w:val="center"/>
        <w:rPr>
          <w:rFonts w:ascii="Arial" w:hAnsi="Arial" w:cs="Arial"/>
          <w:color w:val="auto"/>
          <w:highlight w:val="none"/>
        </w:rPr>
      </w:pPr>
      <w:bookmarkStart w:id="7" w:name="_Toc7321"/>
      <w:bookmarkStart w:id="8" w:name="_Toc44229894"/>
      <w:r>
        <w:rPr>
          <w:rFonts w:ascii="Arial" w:hAnsi="Arial" w:cs="Arial"/>
          <w:color w:val="auto"/>
          <w:highlight w:val="none"/>
        </w:rPr>
        <w:t>第二章  供应商须知</w:t>
      </w:r>
      <w:bookmarkEnd w:id="7"/>
      <w:bookmarkEnd w:id="8"/>
    </w:p>
    <w:p>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供应商须知前附表</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napToGrid w:val="0"/>
              <w:spacing w:line="288" w:lineRule="auto"/>
              <w:jc w:val="center"/>
              <w:rPr>
                <w:rFonts w:ascii="Arial" w:hAnsi="Arial" w:cs="Arial"/>
                <w:b/>
                <w:color w:val="auto"/>
                <w:szCs w:val="21"/>
                <w:highlight w:val="none"/>
              </w:rPr>
            </w:pPr>
            <w:r>
              <w:rPr>
                <w:rFonts w:ascii="Arial" w:hAnsi="Arial" w:cs="Arial"/>
                <w:b/>
                <w:color w:val="auto"/>
                <w:szCs w:val="21"/>
                <w:highlight w:val="none"/>
              </w:rPr>
              <w:t>条款号</w:t>
            </w:r>
          </w:p>
        </w:tc>
        <w:tc>
          <w:tcPr>
            <w:tcW w:w="8224" w:type="dxa"/>
            <w:noWrap w:val="0"/>
            <w:vAlign w:val="top"/>
          </w:tcPr>
          <w:p>
            <w:pPr>
              <w:snapToGrid w:val="0"/>
              <w:spacing w:line="288" w:lineRule="auto"/>
              <w:jc w:val="center"/>
              <w:rPr>
                <w:rFonts w:ascii="Arial" w:hAnsi="Arial" w:cs="Arial"/>
                <w:b/>
                <w:color w:val="auto"/>
                <w:szCs w:val="21"/>
                <w:highlight w:val="none"/>
              </w:rPr>
            </w:pPr>
            <w:r>
              <w:rPr>
                <w:rFonts w:ascii="Arial" w:hAnsi="Arial" w:cs="Arial"/>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bCs/>
                <w:color w:val="auto"/>
                <w:szCs w:val="21"/>
                <w:highlight w:val="none"/>
              </w:rPr>
              <w:t>供应商的资格条件</w:t>
            </w:r>
            <w:r>
              <w:rPr>
                <w:rFonts w:ascii="Arial" w:hAnsi="Arial" w:cs="Arial"/>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5.1</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是否接受联合体竞标：不接受联合体磋商。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5.2</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如接受联合体竞标，联合体竞标要求如下：无。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6.2</w:t>
            </w:r>
          </w:p>
        </w:tc>
        <w:tc>
          <w:tcPr>
            <w:tcW w:w="8224" w:type="dxa"/>
            <w:noWrap w:val="0"/>
            <w:vAlign w:val="center"/>
          </w:tcPr>
          <w:p>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12.1.1</w:t>
            </w:r>
          </w:p>
        </w:tc>
        <w:tc>
          <w:tcPr>
            <w:tcW w:w="8224" w:type="dxa"/>
            <w:noWrap w:val="0"/>
            <w:vAlign w:val="center"/>
          </w:tcPr>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资格证明文件</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为法人或者其他组织的提供其营业执照等证明文件及资质证书复印件（如营业执照或者事业单位法人证书或者执业许可证等），供应商为自然人的提供其身份证复印件；（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依法缴纳税收的相关材料（竞标截止前半年内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如供应商为截标时间前60日以内成立的公司，可以提供依法缴纳税的承诺函（格式自拟））；（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依法缴纳社会保障资金的相关材料[竞标截止前半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如供应商为截标时间前60日以内成立的公司，可以提供依法缴纳社会保险费的承诺函（格式自拟）]；（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供应商财务状况报告[2023年或2024年财务状况报告复印件，供应商是法人的，应提供经审计的财务报告（包括“四表一注”，即资产负债表、利润表、现金流量表、所有者权益变动表及其附注)或者其基本开户银行出具的资信证明或者银行出具的资信证明；供应商是其他组织或者自然人的，应提供经审计的财务报告（包括“四表一注”，即资产负债表、利润表、现金流量表、所有者权益变动表及其附注)或者银行出具的资信证明，如供应商为截标时间前60日以内成立的公司，可以提供财务状况的承诺函（格式自拟）]；（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5.供应商直接控股、管理关系信息表（格式后附）；（必须提供，否则响应文件按无效响应处理）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6.竞标声明（格式后附）；（必须提供，否则响应文件按无效响应处理）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7.中小企业声明函（必须提供，否则响应文件按无效响应处理）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.除磋商文件规定必须提供以外，供应商认为需要提供的其他证明材料；</w:t>
            </w:r>
          </w:p>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288" w:lineRule="auto"/>
              <w:ind w:firstLine="411" w:firstLineChars="196"/>
              <w:jc w:val="left"/>
              <w:rPr>
                <w:rFonts w:ascii="Arial" w:hAnsi="Arial" w:cs="Arial"/>
                <w:color w:val="auto"/>
                <w:szCs w:val="21"/>
                <w:highlight w:val="none"/>
              </w:rPr>
            </w:pPr>
            <w:r>
              <w:rPr>
                <w:rFonts w:ascii="Arial" w:hAnsi="Arial" w:cs="Arial"/>
                <w:color w:val="auto"/>
                <w:szCs w:val="21"/>
                <w:highlight w:val="none"/>
              </w:rPr>
              <w:t>（1）以上标明“必须提供”的材料属于复印件的，必须加盖供应商公章，否则响应文件按无效响应处理。</w:t>
            </w:r>
          </w:p>
          <w:p>
            <w:pPr>
              <w:snapToGrid w:val="0"/>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（2）竞标声明必须由法定代表人在规定签章处签字并加盖供应商公章，否则响应文件按无效响应处理。</w:t>
            </w:r>
          </w:p>
          <w:p>
            <w:pPr>
              <w:snapToGrid w:val="0"/>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（3）供应商直接控股、管理关系信息表必须由法定代表人或者委托代理人在规定签章处签字并加盖供应商公章，否则响应文件按无效响应处理。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12.1.2</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商务技术文件</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1.无串通竞标行为的承诺函（格式后附）；（必须提供，否则响应文件按无效响应处理）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2.法定代表人身份证明书及法定代表人有效身份证正反面复印件（格式后附）；（除自然人竞标外必须提供，否则响应文件按无效响应处理）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3.法定代表人授权委托书及委托代理人有效身份证正反面复印件（格式后附）；（委托时必须提供，否则响应文件按无效响应处理）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4.对采购需求的响应偏离表（必须提供，否则响应文件按无效响应处理）；</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5.项目</w:t>
            </w:r>
            <w:r>
              <w:rPr>
                <w:rFonts w:hint="eastAsia" w:ascii="Arial" w:hAnsi="Arial" w:cs="Arial"/>
                <w:color w:val="auto"/>
                <w:szCs w:val="21"/>
                <w:highlight w:val="none"/>
                <w:lang w:val="en-US" w:eastAsia="zh-CN"/>
              </w:rPr>
              <w:t>理解</w:t>
            </w:r>
            <w:r>
              <w:rPr>
                <w:rFonts w:hint="eastAsia" w:ascii="Arial" w:hAnsi="Arial" w:cs="Arial"/>
                <w:color w:val="auto"/>
                <w:szCs w:val="21"/>
                <w:highlight w:val="none"/>
              </w:rPr>
              <w:t>（如有请提供，格式自拟）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6.</w:t>
            </w:r>
            <w:r>
              <w:rPr>
                <w:rFonts w:hint="eastAsia" w:ascii="Arial" w:hAnsi="Arial" w:cs="Arial"/>
                <w:color w:val="auto"/>
                <w:szCs w:val="21"/>
                <w:highlight w:val="none"/>
                <w:lang w:val="en-US" w:eastAsia="zh-CN"/>
              </w:rPr>
              <w:t>医疗工艺咨询方案</w:t>
            </w:r>
            <w:r>
              <w:rPr>
                <w:rFonts w:hint="eastAsia" w:ascii="Arial" w:hAnsi="Arial" w:cs="Arial"/>
                <w:color w:val="auto"/>
                <w:szCs w:val="21"/>
                <w:highlight w:val="none"/>
              </w:rPr>
              <w:t>（如有请提供，格式自拟）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7.</w:t>
            </w:r>
            <w:r>
              <w:rPr>
                <w:rFonts w:hint="eastAsia" w:ascii="Arial" w:hAnsi="Arial" w:cs="Arial"/>
                <w:color w:val="auto"/>
                <w:szCs w:val="21"/>
                <w:highlight w:val="none"/>
                <w:lang w:val="en-US" w:eastAsia="zh-CN"/>
              </w:rPr>
              <w:t>项目重点及难点分析及应对措施</w:t>
            </w:r>
            <w:r>
              <w:rPr>
                <w:rFonts w:hint="eastAsia" w:ascii="Arial" w:hAnsi="Arial" w:cs="Arial"/>
                <w:color w:val="auto"/>
                <w:szCs w:val="21"/>
                <w:highlight w:val="none"/>
              </w:rPr>
              <w:t>（如有请提供，格式自拟）</w:t>
            </w:r>
          </w:p>
          <w:p>
            <w:pPr>
              <w:pStyle w:val="13"/>
              <w:snapToGrid w:val="0"/>
              <w:spacing w:line="288" w:lineRule="auto"/>
              <w:ind w:firstLine="420" w:firstLineChars="200"/>
              <w:rPr>
                <w:rFonts w:hint="default" w:ascii="Arial" w:hAnsi="Arial" w:eastAsia="宋体" w:cs="Arial"/>
                <w:color w:val="auto"/>
                <w:szCs w:val="21"/>
                <w:highlight w:val="none"/>
                <w:lang w:val="en-US" w:eastAsia="zh-CN"/>
              </w:rPr>
            </w:pPr>
            <w:r>
              <w:rPr>
                <w:rFonts w:hint="eastAsia" w:ascii="Arial" w:hAnsi="Arial" w:cs="Arial"/>
                <w:color w:val="auto"/>
                <w:szCs w:val="21"/>
                <w:highlight w:val="none"/>
              </w:rPr>
              <w:t>8.</w:t>
            </w:r>
            <w:r>
              <w:rPr>
                <w:rFonts w:hint="eastAsia" w:ascii="Arial" w:hAnsi="Arial" w:cs="Arial"/>
                <w:color w:val="auto"/>
                <w:szCs w:val="21"/>
                <w:highlight w:val="none"/>
                <w:lang w:val="en-US" w:eastAsia="zh-CN"/>
              </w:rPr>
              <w:t>工作进度安排及保证措施</w:t>
            </w:r>
            <w:r>
              <w:rPr>
                <w:rFonts w:hint="eastAsia" w:ascii="Arial" w:hAnsi="Arial" w:cs="Arial"/>
                <w:color w:val="auto"/>
                <w:szCs w:val="21"/>
                <w:highlight w:val="none"/>
              </w:rPr>
              <w:t>（如有请提供，格式自拟）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9.</w:t>
            </w:r>
            <w:r>
              <w:rPr>
                <w:rFonts w:hint="eastAsia" w:ascii="Arial" w:hAnsi="Arial" w:cs="Arial"/>
                <w:color w:val="auto"/>
                <w:szCs w:val="21"/>
                <w:highlight w:val="none"/>
              </w:rPr>
              <w:t>与采购人及各单位的协同配合方案（如有请提供，格式自拟）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10</w:t>
            </w:r>
            <w:r>
              <w:rPr>
                <w:rFonts w:hint="eastAsia" w:ascii="Arial" w:hAnsi="Arial" w:cs="Arial"/>
                <w:color w:val="auto"/>
                <w:szCs w:val="21"/>
                <w:highlight w:val="none"/>
              </w:rPr>
              <w:t>.企业认证（如有请提供，格式自拟）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.服务团队配置（如有请提供，格式自拟）</w:t>
            </w:r>
          </w:p>
          <w:p>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12</w:t>
            </w:r>
            <w:r>
              <w:rPr>
                <w:rFonts w:hint="eastAsia" w:ascii="Arial" w:hAnsi="Arial" w:cs="Arial"/>
                <w:color w:val="auto"/>
                <w:szCs w:val="21"/>
                <w:highlight w:val="none"/>
              </w:rPr>
              <w:t>.同类项目业绩（如有请提供，格式自拟）</w:t>
            </w:r>
          </w:p>
          <w:p>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13</w:t>
            </w:r>
            <w:r>
              <w:rPr>
                <w:rFonts w:hint="eastAsia" w:ascii="Arial" w:hAnsi="Arial" w:cs="Arial"/>
                <w:color w:val="auto"/>
                <w:szCs w:val="21"/>
                <w:highlight w:val="none"/>
              </w:rPr>
              <w:t>.供应商认为需要提供的其他有关资料</w:t>
            </w:r>
            <w:r>
              <w:rPr>
                <w:rFonts w:ascii="Arial" w:hAnsi="Arial" w:cs="Arial"/>
                <w:color w:val="auto"/>
                <w:szCs w:val="21"/>
                <w:highlight w:val="none"/>
              </w:rPr>
              <w:t>；</w:t>
            </w:r>
          </w:p>
          <w:p>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报价文件</w:t>
            </w:r>
          </w:p>
          <w:p>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 xml:space="preserve">    1.响应函；（必须提供，否则响应文件按无效响应处理）</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2.磋商报价明细表；（必须提供，否则响应文件按无效响应处理）</w:t>
            </w:r>
          </w:p>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288" w:lineRule="auto"/>
              <w:ind w:firstLine="411" w:firstLineChars="196"/>
              <w:jc w:val="left"/>
              <w:rPr>
                <w:rFonts w:ascii="Arial" w:hAnsi="Arial" w:cs="Arial"/>
                <w:color w:val="auto"/>
                <w:szCs w:val="21"/>
                <w:highlight w:val="none"/>
              </w:rPr>
            </w:pPr>
            <w:r>
              <w:rPr>
                <w:rFonts w:ascii="Arial" w:hAnsi="Arial" w:cs="Arial"/>
                <w:color w:val="auto"/>
                <w:szCs w:val="21"/>
                <w:highlight w:val="none"/>
              </w:rPr>
              <w:t>（1）法定代表人授权委托书必须由法定代表人及委托代理人签字，并加盖供应商公章，否则响应文件按无效响应处理。</w:t>
            </w:r>
          </w:p>
          <w:p>
            <w:pPr>
              <w:snapToGrid w:val="0"/>
              <w:spacing w:line="288" w:lineRule="auto"/>
              <w:ind w:firstLine="411" w:firstLineChars="196"/>
              <w:rPr>
                <w:rFonts w:ascii="Arial" w:hAnsi="Arial" w:cs="Arial"/>
                <w:color w:val="auto"/>
                <w:szCs w:val="21"/>
                <w:highlight w:val="none"/>
              </w:rPr>
            </w:pPr>
            <w:r>
              <w:rPr>
                <w:rFonts w:ascii="Arial" w:hAnsi="Arial" w:cs="Arial"/>
                <w:color w:val="auto"/>
                <w:szCs w:val="21"/>
                <w:highlight w:val="none"/>
              </w:rPr>
              <w:t>（2）以上标明“必须提供”的材料属于复印件的，必须加盖供应商公章，否则响应文件按无效响应处理。</w:t>
            </w:r>
          </w:p>
          <w:p>
            <w:pPr>
              <w:snapToGrid w:val="0"/>
              <w:spacing w:line="288" w:lineRule="auto"/>
              <w:ind w:firstLine="411" w:firstLineChars="196"/>
              <w:rPr>
                <w:rFonts w:ascii="Arial" w:hAnsi="Arial" w:cs="Arial"/>
                <w:color w:val="auto"/>
                <w:szCs w:val="21"/>
                <w:highlight w:val="none"/>
              </w:rPr>
            </w:pPr>
            <w:r>
              <w:rPr>
                <w:rFonts w:ascii="Arial" w:hAnsi="Arial" w:cs="Arial"/>
                <w:color w:val="auto"/>
                <w:szCs w:val="21"/>
                <w:highlight w:val="none"/>
              </w:rPr>
              <w:t>（3）以上材料未附格式的，由供应商自行拟定。</w:t>
            </w:r>
          </w:p>
          <w:p>
            <w:pPr>
              <w:snapToGrid w:val="0"/>
              <w:spacing w:line="288" w:lineRule="auto"/>
              <w:rPr>
                <w:rFonts w:ascii="Arial" w:hAnsi="Arial" w:cs="Arial"/>
                <w:b/>
                <w:bCs/>
                <w:color w:val="auto"/>
                <w:szCs w:val="21"/>
                <w:highlight w:val="none"/>
              </w:rPr>
            </w:pPr>
            <w:r>
              <w:rPr>
                <w:rFonts w:ascii="Arial" w:hAnsi="Arial" w:cs="Arial"/>
                <w:b/>
                <w:bCs/>
                <w:color w:val="auto"/>
                <w:szCs w:val="21"/>
                <w:highlight w:val="none"/>
              </w:rPr>
              <w:t>特别说明：</w:t>
            </w:r>
          </w:p>
          <w:p>
            <w:pPr>
              <w:snapToGrid w:val="0"/>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（1）响</w:t>
            </w:r>
            <w:r>
              <w:rPr>
                <w:rFonts w:ascii="Arial" w:hAnsi="Arial" w:cs="Arial"/>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1"/>
              </w:numPr>
              <w:snapToGrid w:val="0"/>
              <w:spacing w:line="288" w:lineRule="auto"/>
              <w:ind w:firstLine="422" w:firstLineChars="200"/>
              <w:rPr>
                <w:rFonts w:ascii="Arial" w:hAnsi="Arial" w:cs="Arial"/>
                <w:color w:val="auto"/>
                <w:szCs w:val="21"/>
                <w:highlight w:val="none"/>
              </w:rPr>
            </w:pPr>
            <w:r>
              <w:rPr>
                <w:rFonts w:ascii="Arial" w:hAnsi="Arial" w:cs="Arial"/>
                <w:b/>
                <w:bCs/>
                <w:color w:val="auto"/>
                <w:szCs w:val="21"/>
                <w:highlight w:val="none"/>
              </w:rPr>
              <w:t>磋商文件要求法定代表人（负责人）或委托代理人签字的部分必须签字然后扫描或者拍照做成 pdf 格式上传（或加盖个人CA签章），无签字的视为响应无效。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12.2</w:t>
            </w:r>
          </w:p>
        </w:tc>
        <w:tc>
          <w:tcPr>
            <w:tcW w:w="8224" w:type="dxa"/>
            <w:noWrap w:val="0"/>
            <w:vAlign w:val="center"/>
          </w:tcPr>
          <w:p>
            <w:pPr>
              <w:pStyle w:val="4"/>
              <w:snapToGrid w:val="0"/>
              <w:spacing w:before="0" w:after="0" w:line="288" w:lineRule="auto"/>
              <w:ind w:firstLine="420" w:firstLineChars="200"/>
              <w:rPr>
                <w:rFonts w:ascii="Arial" w:hAnsi="Arial" w:cs="Arial"/>
                <w:b w:val="0"/>
                <w:bCs/>
                <w:color w:val="auto"/>
                <w:sz w:val="21"/>
                <w:szCs w:val="21"/>
                <w:highlight w:val="none"/>
              </w:rPr>
            </w:pPr>
            <w:bookmarkStart w:id="9" w:name="_Toc19911"/>
            <w:bookmarkStart w:id="10" w:name="_Toc20470"/>
            <w:bookmarkStart w:id="11" w:name="_Toc27452"/>
            <w:bookmarkStart w:id="12" w:name="_Toc153"/>
            <w:r>
              <w:rPr>
                <w:rFonts w:ascii="Arial" w:hAnsi="Arial" w:cs="Arial"/>
                <w:b w:val="0"/>
                <w:bCs/>
                <w:color w:val="auto"/>
                <w:sz w:val="21"/>
                <w:szCs w:val="21"/>
                <w:highlight w:val="none"/>
              </w:rPr>
              <w:t>电子竞争性磋商响应文件的制作</w:t>
            </w:r>
            <w:bookmarkEnd w:id="9"/>
            <w:bookmarkEnd w:id="10"/>
            <w:bookmarkEnd w:id="11"/>
            <w:r>
              <w:rPr>
                <w:rFonts w:ascii="Arial" w:hAnsi="Arial" w:cs="Arial"/>
                <w:b w:val="0"/>
                <w:bCs/>
                <w:color w:val="auto"/>
                <w:sz w:val="21"/>
                <w:szCs w:val="21"/>
                <w:highlight w:val="none"/>
              </w:rPr>
              <w:t>：</w:t>
            </w:r>
            <w:bookmarkEnd w:id="12"/>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法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 磋商响应文件不得涂改，若有修改错漏处，须法定代表人（负责人）或授权委托人签字（或个人CA签章）。磋商响应文件因字迹潦草或表达不清所引起的后果由供应商负责。</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4.磋商前准备 </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4.1本项目实行在线磋商，采用电子磋商响应文件。若供应商参与磋商，自行承担磋商一切费用。 </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4.2各供应商应在截标前应确保成为广西政府采购云平台正式注册入库供应商，并完成 CA 数字证书申领。因未注册入库、未办理CA数字证书等原因造成无法磋商或磋商失败等后果由供应商自行承担。 </w:t>
            </w:r>
          </w:p>
          <w:p>
            <w:pPr>
              <w:pStyle w:val="4"/>
              <w:snapToGrid w:val="0"/>
              <w:spacing w:before="0" w:after="0" w:line="288" w:lineRule="auto"/>
              <w:ind w:firstLine="422" w:firstLineChars="200"/>
              <w:rPr>
                <w:rFonts w:ascii="Arial" w:hAnsi="Arial" w:cs="Arial"/>
                <w:color w:val="auto"/>
                <w:sz w:val="21"/>
                <w:szCs w:val="21"/>
                <w:highlight w:val="none"/>
              </w:rPr>
            </w:pPr>
            <w:bookmarkStart w:id="13" w:name="_Toc30051"/>
            <w:r>
              <w:rPr>
                <w:rFonts w:ascii="Arial" w:hAnsi="Arial" w:cs="Arial"/>
                <w:color w:val="auto"/>
                <w:sz w:val="21"/>
                <w:szCs w:val="21"/>
                <w:highlight w:val="none"/>
              </w:rPr>
              <w:t>4.3供应商将政采云电子交易客户端下载、安装完成后，可通过账号密码或CA 登录客户端进行响应文件制作。客户端请至网站下载专区查看，如有问题可拨打政采云客户服务热线 95763进行咨询。</w:t>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15.2</w:t>
            </w:r>
          </w:p>
        </w:tc>
        <w:tc>
          <w:tcPr>
            <w:tcW w:w="8224" w:type="dxa"/>
            <w:noWrap w:val="0"/>
            <w:vAlign w:val="center"/>
          </w:tcPr>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磋商报价包括本次采购范围内的服务价款、各种人力成本、拟投入设备成本、售后服务、技术支持、交通费、法定税费、不可预见费、合理利润及其它成本费等的各项费用的总和。供应商综合考虑在报价中。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16.2</w:t>
            </w:r>
          </w:p>
        </w:tc>
        <w:tc>
          <w:tcPr>
            <w:tcW w:w="8224" w:type="dxa"/>
            <w:noWrap w:val="0"/>
            <w:vAlign w:val="center"/>
          </w:tcPr>
          <w:p>
            <w:pPr>
              <w:pStyle w:val="11"/>
              <w:widowControl w:val="0"/>
              <w:tabs>
                <w:tab w:val="clear" w:pos="454"/>
              </w:tabs>
              <w:snapToGrid w:val="0"/>
              <w:spacing w:after="0" w:afterLines="0" w:line="288" w:lineRule="auto"/>
              <w:ind w:left="283" w:hanging="283" w:hangingChars="135"/>
              <w:rPr>
                <w:rFonts w:ascii="Arial" w:hAnsi="Arial" w:cs="Arial"/>
                <w:color w:val="auto"/>
                <w:kern w:val="2"/>
                <w:sz w:val="21"/>
                <w:szCs w:val="21"/>
                <w:highlight w:val="none"/>
              </w:rPr>
            </w:pPr>
            <w:r>
              <w:rPr>
                <w:rFonts w:ascii="Arial" w:hAnsi="Arial" w:cs="Arial"/>
                <w:color w:val="auto"/>
                <w:kern w:val="2"/>
                <w:sz w:val="21"/>
                <w:szCs w:val="21"/>
                <w:highlight w:val="none"/>
              </w:rPr>
              <w:t>响应有效期：自首次响应文件提交截止之日起</w:t>
            </w:r>
            <w:r>
              <w:rPr>
                <w:rFonts w:ascii="Arial" w:hAnsi="Arial" w:cs="Arial"/>
                <w:color w:val="auto"/>
                <w:kern w:val="2"/>
                <w:sz w:val="21"/>
                <w:szCs w:val="21"/>
                <w:highlight w:val="none"/>
                <w:u w:val="single"/>
              </w:rPr>
              <w:t>90</w:t>
            </w:r>
            <w:r>
              <w:rPr>
                <w:rFonts w:ascii="Arial" w:hAnsi="Arial" w:cs="Arial"/>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17</w:t>
            </w:r>
          </w:p>
        </w:tc>
        <w:tc>
          <w:tcPr>
            <w:tcW w:w="8224" w:type="dxa"/>
            <w:noWrap w:val="0"/>
            <w:vAlign w:val="center"/>
          </w:tcPr>
          <w:p>
            <w:pPr>
              <w:pStyle w:val="13"/>
              <w:snapToGrid w:val="0"/>
              <w:spacing w:line="288" w:lineRule="auto"/>
              <w:rPr>
                <w:rFonts w:ascii="Arial" w:hAnsi="Arial" w:cs="Arial"/>
                <w:color w:val="auto"/>
                <w:szCs w:val="21"/>
                <w:highlight w:val="none"/>
              </w:rPr>
            </w:pPr>
            <w:r>
              <w:rPr>
                <w:rFonts w:ascii="Arial" w:hAnsi="Arial" w:cs="Arial"/>
                <w:b/>
                <w:bCs/>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20.1</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响应文件递交：</w:t>
            </w:r>
          </w:p>
          <w:p>
            <w:pPr>
              <w:snapToGrid w:val="0"/>
              <w:spacing w:line="288" w:lineRule="auto"/>
              <w:rPr>
                <w:rFonts w:ascii="Arial" w:hAnsi="Arial" w:cs="Arial"/>
                <w:color w:val="auto"/>
                <w:szCs w:val="21"/>
                <w:highlight w:val="none"/>
              </w:rPr>
            </w:pPr>
            <w:r>
              <w:rPr>
                <w:rFonts w:ascii="Arial" w:hAnsi="Arial" w:cs="Arial"/>
                <w:color w:val="auto"/>
                <w:szCs w:val="21"/>
                <w:highlight w:val="none"/>
              </w:rPr>
              <w:t>响应递交截止时间：</w:t>
            </w:r>
            <w:r>
              <w:rPr>
                <w:rFonts w:ascii="Arial" w:hAnsi="Arial" w:cs="Arial"/>
                <w:color w:val="auto"/>
                <w:szCs w:val="21"/>
                <w:highlight w:val="none"/>
                <w:u w:val="single"/>
              </w:rPr>
              <w:t>于2025年</w:t>
            </w:r>
            <w:r>
              <w:rPr>
                <w:rFonts w:hint="eastAsia" w:ascii="Arial" w:hAnsi="Arial" w:cs="Arial"/>
                <w:color w:val="auto"/>
                <w:szCs w:val="21"/>
                <w:highlight w:val="none"/>
                <w:u w:val="single"/>
                <w:lang w:val="en-US" w:eastAsia="zh-CN"/>
              </w:rPr>
              <w:t>10</w:t>
            </w:r>
            <w:r>
              <w:rPr>
                <w:rFonts w:hint="eastAsia" w:ascii="Arial" w:hAnsi="Arial" w:cs="Arial"/>
                <w:color w:val="auto"/>
                <w:szCs w:val="21"/>
                <w:highlight w:val="none"/>
                <w:u w:val="single"/>
              </w:rPr>
              <w:t>月</w:t>
            </w:r>
            <w:r>
              <w:rPr>
                <w:rFonts w:hint="eastAsia" w:ascii="Arial" w:hAnsi="Arial" w:cs="Arial"/>
                <w:color w:val="auto"/>
                <w:szCs w:val="21"/>
                <w:highlight w:val="none"/>
                <w:u w:val="single"/>
                <w:lang w:val="en-US" w:eastAsia="zh-CN"/>
              </w:rPr>
              <w:t>28</w:t>
            </w:r>
            <w:r>
              <w:rPr>
                <w:rFonts w:hint="eastAsia" w:ascii="Arial" w:hAnsi="Arial" w:cs="Arial"/>
                <w:color w:val="auto"/>
                <w:szCs w:val="21"/>
                <w:highlight w:val="none"/>
                <w:u w:val="single"/>
              </w:rPr>
              <w:t xml:space="preserve"> 日</w:t>
            </w:r>
            <w:r>
              <w:rPr>
                <w:rFonts w:ascii="Arial" w:hAnsi="Arial" w:cs="Arial"/>
                <w:color w:val="auto"/>
                <w:szCs w:val="21"/>
                <w:highlight w:val="none"/>
                <w:u w:val="single"/>
              </w:rPr>
              <w:t>9时30分</w:t>
            </w:r>
            <w:r>
              <w:rPr>
                <w:rFonts w:ascii="Arial" w:hAnsi="Arial" w:cs="Arial"/>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24.1</w:t>
            </w:r>
          </w:p>
        </w:tc>
        <w:tc>
          <w:tcPr>
            <w:tcW w:w="8224" w:type="dxa"/>
            <w:noWrap w:val="0"/>
            <w:vAlign w:val="center"/>
          </w:tcPr>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磋商及评审工作由采购代理机构负责组织，具体磋商、评审工作由依法组建的磋商小组负责，磋商小组由采购人代表和有关方面的专家组成。磋商小组的构成：3人，其中采购人代表 1人，专家 2 人。</w:t>
            </w:r>
          </w:p>
          <w:p>
            <w:pPr>
              <w:pStyle w:val="92"/>
              <w:snapToGrid w:val="0"/>
              <w:spacing w:line="288" w:lineRule="auto"/>
              <w:rPr>
                <w:rFonts w:ascii="Arial" w:hAnsi="Arial" w:cs="Arial"/>
                <w:color w:val="auto"/>
                <w:highlight w:val="none"/>
              </w:rPr>
            </w:pPr>
            <w:r>
              <w:rPr>
                <w:rFonts w:ascii="Arial" w:hAnsi="Arial" w:cs="Arial"/>
                <w:color w:val="auto"/>
                <w:highlight w:val="none"/>
              </w:rPr>
              <w:t>专家确定方式：评审前由代理机构从政采云中广西壮族自治区政府采购评审专家库系统设立的专家库中通过电脑随机抽取。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24.3</w:t>
            </w:r>
          </w:p>
        </w:tc>
        <w:tc>
          <w:tcPr>
            <w:tcW w:w="8224" w:type="dxa"/>
            <w:noWrap w:val="0"/>
            <w:vAlign w:val="center"/>
          </w:tcPr>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磋商响应文件解密时间：截标时间后</w:t>
            </w:r>
            <w:r>
              <w:rPr>
                <w:rFonts w:ascii="Arial" w:hAnsi="Arial" w:cs="Arial"/>
                <w:color w:val="auto"/>
                <w:szCs w:val="21"/>
                <w:highlight w:val="none"/>
                <w:u w:val="single"/>
              </w:rPr>
              <w:t>30</w:t>
            </w:r>
            <w:r>
              <w:rPr>
                <w:rFonts w:ascii="Arial" w:hAnsi="Arial" w:cs="Arial"/>
                <w:color w:val="auto"/>
                <w:szCs w:val="21"/>
                <w:highlight w:val="none"/>
              </w:rPr>
              <w:t>分钟内磋商供应商可以登录广西政府采购云平台，用“项目采购-开标评标”功能进行解密磋商响应文件。若磋商供应商在规定时间内无法解密或解密失败，可以以电子备份磋商响应文件作为依据</w:t>
            </w:r>
            <w:r>
              <w:rPr>
                <w:rFonts w:ascii="Arial" w:hAnsi="Arial" w:cs="Arial"/>
                <w:b/>
                <w:bCs/>
                <w:color w:val="auto"/>
                <w:szCs w:val="21"/>
                <w:highlight w:val="none"/>
              </w:rPr>
              <w:t>【在接到无法解密或解密失败的通知后，供应商可根据自身实际情况按通知时要求的时间到桂林市公共资源交易中心</w:t>
            </w:r>
            <w:r>
              <w:rPr>
                <w:rFonts w:hint="eastAsia" w:ascii="Arial" w:hAnsi="Arial" w:cs="Arial"/>
                <w:b/>
                <w:bCs/>
                <w:color w:val="auto"/>
                <w:szCs w:val="21"/>
                <w:highlight w:val="none"/>
              </w:rPr>
              <w:t xml:space="preserve"> </w:t>
            </w:r>
            <w:r>
              <w:rPr>
                <w:rFonts w:hint="eastAsia" w:ascii="Arial" w:hAnsi="Arial" w:cs="Arial"/>
                <w:b/>
                <w:bCs/>
                <w:color w:val="auto"/>
                <w:szCs w:val="21"/>
                <w:highlight w:val="none"/>
                <w:lang w:val="en-US" w:eastAsia="zh-CN"/>
              </w:rPr>
              <w:t>4</w:t>
            </w:r>
            <w:r>
              <w:rPr>
                <w:rFonts w:hint="eastAsia" w:ascii="Arial" w:hAnsi="Arial" w:cs="Arial"/>
                <w:b/>
                <w:bCs/>
                <w:color w:val="auto"/>
                <w:szCs w:val="21"/>
                <w:highlight w:val="none"/>
              </w:rPr>
              <w:t>号政采开标仓</w:t>
            </w:r>
            <w:r>
              <w:rPr>
                <w:rFonts w:ascii="Arial" w:hAnsi="Arial" w:cs="Arial"/>
                <w:b/>
                <w:bCs/>
                <w:color w:val="auto"/>
                <w:szCs w:val="21"/>
                <w:highlight w:val="none"/>
              </w:rPr>
              <w:t>现场提交或以电子邮件的形式（以通知时所告知的电子邮箱地址为准）提交电子备份响应文件】</w:t>
            </w:r>
            <w:r>
              <w:rPr>
                <w:rFonts w:ascii="Arial" w:hAnsi="Arial" w:cs="Arial"/>
                <w:color w:val="auto"/>
                <w:szCs w:val="21"/>
                <w:highlight w:val="none"/>
              </w:rPr>
              <w:t>，若磋商供应商在规定时间内无法解密或解密失败且未提供电子备份磋商响应文件的(包含提供的电子备份文件无效或无法解密的情况)，视为无效响应。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26.3</w:t>
            </w:r>
          </w:p>
        </w:tc>
        <w:tc>
          <w:tcPr>
            <w:tcW w:w="8224" w:type="dxa"/>
            <w:tcBorders>
              <w:bottom w:val="single" w:color="auto" w:sz="4" w:space="0"/>
            </w:tcBorders>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磋商的顺序：</w:t>
            </w:r>
          </w:p>
          <w:p>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□按照提交首次响应文件的顺序，通知磋商时，若某供应商不在通知现场时（该供应商排序到最后磋商），按照签到的顺序由其下一位供应商先参与磋商。</w:t>
            </w:r>
          </w:p>
          <w:p>
            <w:pPr>
              <w:snapToGrid w:val="0"/>
              <w:spacing w:line="288" w:lineRule="auto"/>
              <w:rPr>
                <w:rFonts w:ascii="Arial" w:hAnsi="Arial" w:cs="Arial"/>
                <w:color w:val="auto"/>
                <w:szCs w:val="21"/>
                <w:highlight w:val="none"/>
              </w:rPr>
            </w:pPr>
            <w:r>
              <w:rPr>
                <w:rFonts w:ascii="Arial" w:hAnsi="Arial" w:cs="Arial"/>
                <w:color w:val="auto"/>
                <w:szCs w:val="21"/>
                <w:highlight w:val="none"/>
              </w:rPr>
              <w:t>☑随机排序。</w:t>
            </w:r>
          </w:p>
          <w:p>
            <w:pPr>
              <w:snapToGrid w:val="0"/>
              <w:spacing w:line="288" w:lineRule="auto"/>
              <w:ind w:left="315" w:hanging="315" w:hangingChars="150"/>
              <w:jc w:val="left"/>
              <w:rPr>
                <w:rFonts w:ascii="Arial" w:hAnsi="Arial" w:cs="Arial"/>
                <w:color w:val="auto"/>
                <w:szCs w:val="21"/>
                <w:highlight w:val="none"/>
              </w:rPr>
            </w:pPr>
            <w:r>
              <w:rPr>
                <w:rFonts w:ascii="Arial" w:hAnsi="Arial" w:cs="Arial"/>
                <w:color w:val="auto"/>
                <w:szCs w:val="21"/>
                <w:highlight w:val="none"/>
              </w:rPr>
              <w:t>磋商时间：响应文件递交截止时间后。</w:t>
            </w:r>
          </w:p>
          <w:p>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磋商地点：本项目需要磋商供应商代表在截标当天截标后，按磋商小组要求及时登陆广西政府采购云平台等候在线磋商。</w:t>
            </w:r>
          </w:p>
          <w:p>
            <w:pPr>
              <w:snapToGrid w:val="0"/>
              <w:spacing w:line="288" w:lineRule="auto"/>
              <w:ind w:left="15" w:hanging="14" w:hangingChars="7"/>
              <w:jc w:val="left"/>
              <w:rPr>
                <w:rFonts w:ascii="Arial" w:hAnsi="Arial" w:cs="Arial"/>
                <w:color w:val="auto"/>
                <w:szCs w:val="21"/>
                <w:highlight w:val="none"/>
              </w:rPr>
            </w:pPr>
            <w:r>
              <w:rPr>
                <w:rFonts w:ascii="Arial" w:hAnsi="Arial" w:cs="Arial"/>
                <w:color w:val="auto"/>
                <w:szCs w:val="21"/>
                <w:highlight w:val="none"/>
              </w:rPr>
              <w:t>磋商参加人员：供应商法定代表人、负责人、自然人或相应的委托代理人持有效身份证原件和供应商广西政府采购云平台CA数字证书参加磋商。请供应商按时到达指定地点等候磋商。</w:t>
            </w:r>
          </w:p>
          <w:p>
            <w:pPr>
              <w:snapToGrid w:val="0"/>
              <w:spacing w:line="288" w:lineRule="auto"/>
              <w:rPr>
                <w:rFonts w:ascii="Arial" w:hAnsi="Arial" w:cs="Arial"/>
                <w:b/>
                <w:color w:val="auto"/>
                <w:szCs w:val="21"/>
                <w:highlight w:val="none"/>
              </w:rPr>
            </w:pPr>
            <w:r>
              <w:rPr>
                <w:rFonts w:ascii="Arial" w:hAnsi="Arial" w:cs="Arial"/>
                <w:color w:val="auto"/>
                <w:szCs w:val="21"/>
                <w:highlight w:val="none"/>
              </w:rPr>
              <w:t>响应文件递交截止时间后，由磋商小组在评标室内线上开启响应文件</w:t>
            </w:r>
            <w:r>
              <w:rPr>
                <w:rFonts w:ascii="Arial" w:hAnsi="Arial" w:cs="Arial"/>
                <w:b/>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28</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履约保证金：本项目不收取履约保证金。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29.1</w:t>
            </w:r>
          </w:p>
        </w:tc>
        <w:tc>
          <w:tcPr>
            <w:tcW w:w="8224" w:type="dxa"/>
            <w:noWrap w:val="0"/>
            <w:vAlign w:val="center"/>
          </w:tcPr>
          <w:p>
            <w:pPr>
              <w:autoSpaceDE w:val="0"/>
              <w:autoSpaceDN w:val="0"/>
              <w:snapToGrid w:val="0"/>
              <w:spacing w:line="288" w:lineRule="auto"/>
              <w:textAlignment w:val="bottom"/>
              <w:rPr>
                <w:rFonts w:ascii="Arial" w:hAnsi="Arial" w:cs="Arial"/>
                <w:color w:val="auto"/>
                <w:szCs w:val="21"/>
                <w:highlight w:val="none"/>
              </w:rPr>
            </w:pPr>
            <w:r>
              <w:rPr>
                <w:rFonts w:ascii="Arial" w:hAnsi="Arial" w:cs="Arial"/>
                <w:color w:val="auto"/>
                <w:szCs w:val="21"/>
                <w:highlight w:val="none"/>
              </w:rPr>
              <w:t>签订合同携带的证明材料：</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委托代理人负责签订合同的，须携带授权委托书及委托代理人身份证原件等其他资格证件。</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31.2</w:t>
            </w:r>
          </w:p>
        </w:tc>
        <w:tc>
          <w:tcPr>
            <w:tcW w:w="8224" w:type="dxa"/>
            <w:noWrap w:val="0"/>
            <w:vAlign w:val="center"/>
          </w:tcPr>
          <w:p>
            <w:pPr>
              <w:snapToGrid w:val="0"/>
              <w:spacing w:line="288" w:lineRule="auto"/>
              <w:rPr>
                <w:rFonts w:ascii="Arial" w:hAnsi="Arial" w:cs="Arial"/>
                <w:color w:val="auto"/>
                <w:szCs w:val="21"/>
                <w:highlight w:val="none"/>
              </w:rPr>
            </w:pPr>
            <w:r>
              <w:rPr>
                <w:rFonts w:ascii="Arial" w:hAnsi="Arial" w:cs="Arial"/>
                <w:color w:val="auto"/>
                <w:szCs w:val="21"/>
                <w:highlight w:val="none"/>
              </w:rPr>
              <w:t>接收质疑函方式：以书面形式。</w:t>
            </w:r>
          </w:p>
          <w:p>
            <w:pPr>
              <w:pStyle w:val="21"/>
              <w:snapToGrid w:val="0"/>
              <w:spacing w:line="288" w:lineRule="auto"/>
              <w:rPr>
                <w:rFonts w:ascii="Arial" w:hAnsi="Arial" w:cs="Arial"/>
                <w:color w:val="auto"/>
                <w:kern w:val="2"/>
                <w:sz w:val="21"/>
                <w:highlight w:val="none"/>
              </w:rPr>
            </w:pPr>
            <w:r>
              <w:rPr>
                <w:rFonts w:ascii="Arial" w:hAnsi="Arial" w:cs="Arial"/>
                <w:color w:val="auto"/>
                <w:kern w:val="2"/>
                <w:sz w:val="21"/>
                <w:highlight w:val="none"/>
              </w:rPr>
              <w:t>质疑联系部门及联系方式：</w:t>
            </w:r>
            <w:r>
              <w:rPr>
                <w:rFonts w:ascii="Arial" w:hAnsi="Arial" w:cs="Arial"/>
                <w:color w:val="auto"/>
                <w:kern w:val="2"/>
                <w:sz w:val="21"/>
                <w:highlight w:val="none"/>
                <w:u w:val="single"/>
              </w:rPr>
              <w:t>广西机电设备招标有限公司</w:t>
            </w:r>
            <w:r>
              <w:rPr>
                <w:rFonts w:ascii="Arial" w:hAnsi="Arial" w:cs="Arial"/>
                <w:color w:val="auto"/>
                <w:kern w:val="2"/>
                <w:sz w:val="21"/>
                <w:highlight w:val="none"/>
              </w:rPr>
              <w:t>，联系电话：</w:t>
            </w:r>
            <w:r>
              <w:rPr>
                <w:rFonts w:ascii="Arial" w:hAnsi="Arial" w:cs="Arial"/>
                <w:color w:val="auto"/>
                <w:kern w:val="2"/>
                <w:sz w:val="21"/>
                <w:highlight w:val="none"/>
                <w:u w:val="single"/>
              </w:rPr>
              <w:t>0773-3696789转2</w:t>
            </w:r>
            <w:r>
              <w:rPr>
                <w:rFonts w:ascii="Arial" w:hAnsi="Arial" w:cs="Arial"/>
                <w:color w:val="auto"/>
                <w:kern w:val="2"/>
                <w:sz w:val="21"/>
                <w:highlight w:val="none"/>
              </w:rPr>
              <w:t>，通讯地址：桂林市骖鸾路31号湘商大厦6楼603。</w:t>
            </w:r>
          </w:p>
          <w:p>
            <w:pPr>
              <w:autoSpaceDE w:val="0"/>
              <w:autoSpaceDN w:val="0"/>
              <w:snapToGrid w:val="0"/>
              <w:spacing w:line="288" w:lineRule="auto"/>
              <w:textAlignment w:val="bottom"/>
              <w:rPr>
                <w:rFonts w:ascii="Arial" w:hAnsi="Arial" w:cs="Arial"/>
                <w:color w:val="auto"/>
                <w:szCs w:val="21"/>
                <w:highlight w:val="none"/>
              </w:rPr>
            </w:pPr>
            <w:r>
              <w:rPr>
                <w:rFonts w:ascii="Arial" w:hAnsi="Arial" w:cs="Arial"/>
                <w:color w:val="auto"/>
                <w:szCs w:val="21"/>
                <w:highlight w:val="none"/>
              </w:rPr>
              <w:t>业务时间：上午9时00分到12时00分，下午3时00分到05时30分，业务时间以外、双休日和法定节假日不办理业务。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32.1</w:t>
            </w:r>
          </w:p>
        </w:tc>
        <w:tc>
          <w:tcPr>
            <w:tcW w:w="8224" w:type="dxa"/>
            <w:noWrap w:val="0"/>
            <w:vAlign w:val="center"/>
          </w:tcPr>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1.采购代理费支付方式：</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☑本项目代理服务费由</w:t>
            </w:r>
            <w:r>
              <w:rPr>
                <w:rFonts w:ascii="Arial" w:hAnsi="Arial" w:cs="Arial"/>
                <w:color w:val="auto"/>
                <w:sz w:val="21"/>
                <w:highlight w:val="none"/>
                <w:u w:val="single"/>
              </w:rPr>
              <w:t>成交供应商</w:t>
            </w:r>
            <w:r>
              <w:rPr>
                <w:rFonts w:ascii="Arial" w:hAnsi="Arial" w:cs="Arial"/>
                <w:color w:val="auto"/>
                <w:sz w:val="21"/>
                <w:highlight w:val="none"/>
              </w:rPr>
              <w:t>领取成交通知书前，一次性向采购代理机构支付。</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2.采购代理费收取标准：</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☑按照《招标代理服务费管理暂行办法》 (计价格﹝2002﹞1980号)、《国家发展改革委关于降低部分建设项目收费标准规范收费行为等有关问题的通知》(发改价格﹝2011﹞534号)规定的80%采用差额定率累进法计算收取服务费。</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3.采购代理费收取银行账户</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公司名称：广西机电设备招标有限公司桂林七星分公司</w:t>
            </w:r>
          </w:p>
          <w:p>
            <w:pPr>
              <w:pStyle w:val="21"/>
              <w:snapToGrid w:val="0"/>
              <w:spacing w:line="288" w:lineRule="auto"/>
              <w:rPr>
                <w:color w:val="auto"/>
                <w:highlight w:val="none"/>
              </w:rPr>
            </w:pPr>
            <w:r>
              <w:rPr>
                <w:rFonts w:ascii="Arial" w:hAnsi="Arial" w:cs="Arial"/>
                <w:color w:val="auto"/>
                <w:sz w:val="21"/>
                <w:highlight w:val="none"/>
              </w:rPr>
              <w:t>开户银行：交通银行桂林高新支行</w:t>
            </w:r>
          </w:p>
          <w:p>
            <w:pPr>
              <w:pStyle w:val="21"/>
              <w:snapToGrid w:val="0"/>
              <w:spacing w:line="288" w:lineRule="auto"/>
              <w:rPr>
                <w:rFonts w:ascii="Arial" w:hAnsi="Arial" w:cs="Arial"/>
                <w:color w:val="auto"/>
                <w:sz w:val="21"/>
                <w:highlight w:val="none"/>
              </w:rPr>
            </w:pPr>
            <w:r>
              <w:rPr>
                <w:rFonts w:ascii="Arial" w:hAnsi="Arial" w:cs="Arial"/>
                <w:color w:val="auto"/>
                <w:sz w:val="21"/>
                <w:highlight w:val="none"/>
              </w:rPr>
              <w:t>银行账号：453060811013000380456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33.1</w:t>
            </w:r>
          </w:p>
        </w:tc>
        <w:tc>
          <w:tcPr>
            <w:tcW w:w="8224" w:type="dxa"/>
            <w:noWrap w:val="0"/>
            <w:vAlign w:val="center"/>
          </w:tcPr>
          <w:p>
            <w:pPr>
              <w:pStyle w:val="21"/>
              <w:snapToGrid w:val="0"/>
              <w:spacing w:line="288" w:lineRule="auto"/>
              <w:rPr>
                <w:rFonts w:ascii="Arial" w:hAnsi="Arial" w:cs="Arial"/>
                <w:color w:val="auto"/>
                <w:kern w:val="2"/>
                <w:sz w:val="21"/>
                <w:highlight w:val="none"/>
              </w:rPr>
            </w:pPr>
            <w:r>
              <w:rPr>
                <w:rFonts w:ascii="Arial" w:hAnsi="Arial" w:cs="Arial"/>
                <w:color w:val="auto"/>
                <w:sz w:val="21"/>
                <w:highlight w:val="none"/>
              </w:rPr>
              <w:t>解释：构成本磋商文件的各个组成文件应互为解释，互为说明；除磋商文件中有特别规定外，仅适用于竞标阶段的规定，按更正公告（澄清公告）、竞争性磋商公告、供应商须知、工程量清单、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33.2</w:t>
            </w:r>
          </w:p>
        </w:tc>
        <w:tc>
          <w:tcPr>
            <w:tcW w:w="8224" w:type="dxa"/>
            <w:noWrap w:val="0"/>
            <w:vAlign w:val="center"/>
          </w:tcPr>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本磋商文件中描述供应商的“公章”是指根据我国对公章的管理规定，用供应商法定主体行为名称制作的印章（或CA签章），除本磋商文件有特殊规定外，供应商的财务章、部门章、分公司章、工会章、合同章、竞标/投标专用章、业务专用章及银行的转账章、现金收讫章、现金付讫章等其他形式印章均不能代替公章（或CA签章）。</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4.自然人竞标的，磋商文件规定盖公章处由自然人摁手指指印。</w:t>
            </w:r>
          </w:p>
          <w:p>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92" w:type="dxa"/>
            <w:noWrap w:val="0"/>
            <w:vAlign w:val="center"/>
          </w:tcPr>
          <w:p>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33.3.5</w:t>
            </w:r>
          </w:p>
        </w:tc>
        <w:tc>
          <w:tcPr>
            <w:tcW w:w="8224" w:type="dxa"/>
            <w:noWrap w:val="0"/>
            <w:vAlign w:val="center"/>
          </w:tcPr>
          <w:p>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监督管理机构：兴安县财政局； 联系电话：0773-6220651</w:t>
            </w:r>
          </w:p>
        </w:tc>
      </w:tr>
    </w:tbl>
    <w:p>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供应商须知正文</w:t>
      </w:r>
    </w:p>
    <w:p>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一、总则</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1.适用范围</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1.1本项目采购人、采购代理机构、供应商、磋商小组的相关行为均受《中华人民共和国政府采购法》《中华人民共和国政府采购法实施条例》《中华人民共和国招标投标法》</w:t>
      </w:r>
      <w:r>
        <w:rPr>
          <w:rFonts w:ascii="Arial" w:hAnsi="Arial" w:cs="Arial"/>
          <w:color w:val="auto"/>
          <w:highlight w:val="none"/>
        </w:rPr>
        <w:t>、《中华人民共和国招标投标法实施条例》、</w:t>
      </w:r>
      <w:r>
        <w:rPr>
          <w:rFonts w:ascii="Arial" w:hAnsi="Arial" w:cs="Arial"/>
          <w:color w:val="auto"/>
          <w:szCs w:val="21"/>
          <w:highlight w:val="none"/>
        </w:rPr>
        <w:t>《政府采购竞争性磋商采购方式管理暂行办法》《财政部关于政府采购竞争性磋商采购方式管理暂行办法有关问题的补充通知》及本项目本级和上级财政部门政府采购有关规定的约束和保护。</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w:t>
      </w:r>
      <w:r>
        <w:rPr>
          <w:rFonts w:ascii="Arial" w:hAnsi="Arial" w:cs="Arial"/>
          <w:color w:val="auto"/>
          <w:spacing w:val="-6"/>
          <w:szCs w:val="21"/>
          <w:highlight w:val="none"/>
        </w:rPr>
        <w:t>本竞争性磋商文件（以下简称磋商文件）适用于本项目的所有采购程序和环节（法律、法规另有规定的，从其规定）。</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2.定义</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2.1“采购人”是指依法进行政府采购的国家机关、事业单位、团体组织。</w:t>
      </w:r>
    </w:p>
    <w:p>
      <w:pPr>
        <w:spacing w:line="288" w:lineRule="auto"/>
        <w:ind w:firstLine="420" w:firstLineChars="200"/>
        <w:rPr>
          <w:rFonts w:ascii="Arial" w:hAnsi="Arial" w:cs="Arial"/>
          <w:color w:val="auto"/>
          <w:szCs w:val="21"/>
          <w:highlight w:val="none"/>
          <w:u w:val="single"/>
        </w:rPr>
      </w:pPr>
      <w:r>
        <w:rPr>
          <w:rFonts w:ascii="Arial" w:hAnsi="Arial" w:cs="Arial"/>
          <w:color w:val="auto"/>
          <w:szCs w:val="21"/>
          <w:highlight w:val="none"/>
        </w:rPr>
        <w:t>2.2“采购代理机构”是指政府采购代理机构（以下简称采购代理机构）是指集中采购机构以外、受采购人委托从事政府采购代理业务的社会中介机构。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2.3“供应商”是指向采购人提供货物、工程或者服务的法人、其他组织或者自然人。</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2.4“采购需求”系指供应商按磋商采购文件规定向采购人提供图纸范围内施工内容。</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2.5“竞标”是指供应商按照本项目竞争性磋商公告或者邀请函规定的方式获取磋商文件、提交响应文件并希望获得标的的行为。</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2.6“响应文件”</w:t>
      </w:r>
      <w:r>
        <w:rPr>
          <w:rFonts w:ascii="Arial" w:hAnsi="Arial" w:cs="Arial"/>
          <w:color w:val="auto"/>
          <w:spacing w:val="-6"/>
          <w:szCs w:val="21"/>
          <w:highlight w:val="none"/>
        </w:rPr>
        <w:t>是指：供应商根据本磋商文件要求，编制包含资格证明、报价商务技术等所有内容的文件。</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2.7</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b/>
          <w:bCs/>
          <w:color w:val="auto"/>
          <w:szCs w:val="21"/>
          <w:highlight w:val="none"/>
        </w:rPr>
        <w:t>。</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2.8“正偏离”，是指响应文件对磋商文件“采购需求”中有关条款作出的响应优于条款要求并有利于采购人的情形。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2.9“负偏离”，是指响应文件对磋商文件“采购需求”中有关条款作出的响应不满足条款要求，导致采购人要求不能得到满足的情形。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2.10“允许负偏离的条款”是指采购需求中的不属于“实质性要求”的条款。</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2.11“书面形式”是指合同书、信件和数据电文（包括电报、电传、传真、电子数据交换和电子邮件）等可以有形地表现所载内容的形式。</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2.12“首次报价”是指供应商提交的首次响应文件中的报价。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2.13“评审价”是指供应商提交的最后报价并经修正（如有）的价格。</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3.供应商的资格条件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供应商的资格条件详见“供应商须知前附表”。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4.竞标费用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5.联合体竞标</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5.1本项目是否接受联合体竞标，详见“供应商须知前附表”。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5.2</w:t>
      </w:r>
      <w:r>
        <w:rPr>
          <w:rFonts w:ascii="Arial" w:hAnsi="Arial" w:cs="Arial"/>
          <w:color w:val="auto"/>
          <w:highlight w:val="none"/>
        </w:rPr>
        <w:t>如接受联合体竞标，</w:t>
      </w:r>
      <w:r>
        <w:rPr>
          <w:rFonts w:ascii="Arial" w:hAnsi="Arial" w:cs="Arial"/>
          <w:color w:val="auto"/>
          <w:szCs w:val="21"/>
          <w:highlight w:val="none"/>
        </w:rPr>
        <w:t>联合体竞标要求详见“供应商须知前附表”。</w:t>
      </w:r>
    </w:p>
    <w:p>
      <w:pPr>
        <w:spacing w:line="288" w:lineRule="auto"/>
        <w:ind w:firstLine="482" w:firstLineChars="200"/>
        <w:rPr>
          <w:rFonts w:ascii="Arial" w:hAnsi="Arial" w:eastAsia="黑体" w:cs="Arial"/>
          <w:b/>
          <w:bCs/>
          <w:color w:val="auto"/>
          <w:sz w:val="24"/>
          <w:highlight w:val="none"/>
        </w:rPr>
      </w:pPr>
      <w:r>
        <w:rPr>
          <w:rFonts w:ascii="Arial" w:hAnsi="Arial" w:cs="Arial"/>
          <w:b/>
          <w:bCs/>
          <w:color w:val="auto"/>
          <w:sz w:val="24"/>
          <w:highlight w:val="none"/>
        </w:rPr>
        <w:t>6.转包与分包</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6.1本项目不允许转包。</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6.2本项目是否允许分包详见“供应商须知前附表”，本项目不允许违法分包。</w:t>
      </w:r>
    </w:p>
    <w:p>
      <w:pPr>
        <w:spacing w:line="288" w:lineRule="auto"/>
        <w:ind w:firstLine="482" w:firstLineChars="200"/>
        <w:rPr>
          <w:rFonts w:ascii="Arial" w:hAnsi="Arial" w:cs="Arial"/>
          <w:b/>
          <w:bCs/>
          <w:color w:val="auto"/>
          <w:sz w:val="24"/>
          <w:highlight w:val="none"/>
        </w:rPr>
      </w:pPr>
      <w:bookmarkStart w:id="14" w:name="_Toc254970532"/>
      <w:bookmarkStart w:id="15" w:name="_Toc254970673"/>
      <w:r>
        <w:rPr>
          <w:rFonts w:ascii="Arial" w:hAnsi="Arial" w:cs="Arial"/>
          <w:b/>
          <w:bCs/>
          <w:color w:val="auto"/>
          <w:sz w:val="24"/>
          <w:highlight w:val="none"/>
        </w:rPr>
        <w:t>7.特别说明</w:t>
      </w:r>
      <w:bookmarkEnd w:id="14"/>
      <w:bookmarkEnd w:id="15"/>
    </w:p>
    <w:p>
      <w:pPr>
        <w:spacing w:line="288" w:lineRule="auto"/>
        <w:ind w:firstLine="420" w:firstLineChars="200"/>
        <w:rPr>
          <w:rFonts w:ascii="Arial" w:hAnsi="Arial" w:cs="Arial"/>
          <w:color w:val="auto"/>
          <w:szCs w:val="21"/>
          <w:highlight w:val="none"/>
        </w:rPr>
      </w:pPr>
      <w:bookmarkStart w:id="16" w:name="_8.1提供相同品牌产品且通过资格审查、符合性审查的不同投标人参加同一合"/>
      <w:bookmarkEnd w:id="16"/>
      <w:r>
        <w:rPr>
          <w:rFonts w:ascii="Arial" w:hAnsi="Arial" w:cs="Arial"/>
          <w:color w:val="auto"/>
          <w:szCs w:val="21"/>
          <w:highlight w:val="none"/>
        </w:rPr>
        <w:t>7.1如果本磋商文件要求供应商提供资格、信誉、荣誉、业绩与企业认证等材料的，则供应商所提供的以上材料必须为供应商所拥有。</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7.2供应商应仔细阅读磋商文件的所有内容，按照磋商文件的要求提交响应文件，并对所提供的全部资料的真实性承担法律责任。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7.4在政府采购活动中，采购人员及相关人员与供应商有下列利害关系之一的，应当回避：</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（1）参加采购活动前3年内与供应商存在劳动关系；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（2）参加采购活动前3年内担任供应商的董事、监事；</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（3）参加采购活动前3年内是供应商的控股股东或者实际控制人；</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（4）与供应商的法定代表人或者负责人有夫妻、直系血亲、三代以内旁系血亲或者近姻亲关系；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（5）与供应商有其他可能影响政府采购活动公平、公正进行的关系。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7.5有下列情形之一的视为供应商相互串通竞标，响应文件将被视为无效：</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（1）不同供应商的响应文件由同一单位或者个人编制；或者不同供应商报名的IP地址一致的；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（2）不同供应商委托同一单位或者个人办理竞标事宜；</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（3）不同的供应商的响应文件载明的项目管理员为同一个人；</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（4）不同供应商的响应文件异常一致或者报价呈规律性差异；</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（5）不同供应商的响应文件相互混装；</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7.6供应商有下列情形之一的，属于恶意串通行为，将报同级监督管理部门：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（1）供应商直接或者间接从采购人或者采购代理机构处获得其他供应商的相关信息并修改其响应文件；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（2）供应商按照采购人或者采购代理机构的授意撤换、修改响应文件；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（3）供应商之间协商报价、施工组织设计等响应文件或者响应文件的实质性内容；</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（4）属于同一集团、协会、商会等组织成员的供应商按照该组织要求协同参加政府采购活动；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（6）供应商之间商定部分供应商放弃参加政府采购活动或者放弃成交；</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（7）供应商与采购人或者采购代理机构之间、供应商相互之间，为谋求特定供应商成交或者排斥其他供应商的其他串通行为。</w:t>
      </w:r>
    </w:p>
    <w:p>
      <w:pPr>
        <w:spacing w:line="288" w:lineRule="auto"/>
        <w:jc w:val="center"/>
        <w:rPr>
          <w:rFonts w:ascii="Arial" w:hAnsi="Arial" w:cs="Arial"/>
          <w:b/>
          <w:bCs/>
          <w:color w:val="auto"/>
          <w:sz w:val="32"/>
          <w:szCs w:val="32"/>
          <w:highlight w:val="none"/>
        </w:rPr>
      </w:pPr>
      <w:bookmarkStart w:id="17" w:name="_Toc254970534"/>
      <w:bookmarkStart w:id="18" w:name="_Toc254970675"/>
      <w:r>
        <w:rPr>
          <w:rFonts w:ascii="Arial" w:hAnsi="Arial" w:cs="Arial"/>
          <w:b/>
          <w:bCs/>
          <w:color w:val="auto"/>
          <w:sz w:val="32"/>
          <w:szCs w:val="32"/>
          <w:highlight w:val="none"/>
        </w:rPr>
        <w:t>二、磋商文件</w:t>
      </w:r>
      <w:bookmarkEnd w:id="17"/>
      <w:bookmarkEnd w:id="18"/>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8.磋商文件的构成</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（1）竞争性磋商公告；</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（2）供应商须知；</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（3）采购需求；</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（4）评审程序、评审方法和评审标准；</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（5）响应文件格式；</w:t>
      </w:r>
    </w:p>
    <w:p>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（6）合同文本。</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9.供应商的询问</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10.磋商文件的澄清和修改</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pPr>
        <w:spacing w:line="288" w:lineRule="auto"/>
        <w:jc w:val="center"/>
        <w:rPr>
          <w:rFonts w:ascii="Arial" w:hAnsi="Arial" w:cs="Arial"/>
          <w:b/>
          <w:bCs/>
          <w:color w:val="auto"/>
          <w:sz w:val="32"/>
          <w:szCs w:val="32"/>
          <w:highlight w:val="none"/>
        </w:rPr>
      </w:pPr>
      <w:r>
        <w:rPr>
          <w:rFonts w:ascii="Arial" w:hAnsi="Arial" w:cs="Arial"/>
          <w:b/>
          <w:bCs/>
          <w:color w:val="auto"/>
          <w:sz w:val="32"/>
          <w:szCs w:val="32"/>
          <w:highlight w:val="none"/>
        </w:rPr>
        <w:t>三、响应文件的编制</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11.响应文件的编制原则</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供应商必须按照磋商文件的要求编制响应文件，并对其提交的响应文件的真实性、合法性承担法律责任。响应文件必须对磋商文件作出实质性响应。</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12.响应文件的组成</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12.1响应文件由资格证明文件、报价商务技术文件两部分组成。</w:t>
      </w:r>
    </w:p>
    <w:p>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12.1.1资格证明文件：详见须知前附表</w:t>
      </w:r>
    </w:p>
    <w:p>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12.1.2报价商务技术文件：详见须知前附表</w:t>
      </w:r>
    </w:p>
    <w:p>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12.2</w:t>
      </w:r>
      <w:r>
        <w:rPr>
          <w:rFonts w:ascii="Arial" w:hAnsi="Arial" w:cs="Arial"/>
          <w:bCs/>
          <w:color w:val="auto"/>
          <w:szCs w:val="21"/>
          <w:highlight w:val="none"/>
        </w:rPr>
        <w:t>电子竞争性磋商响应文件的制作</w:t>
      </w:r>
      <w:r>
        <w:rPr>
          <w:rFonts w:ascii="Arial" w:hAnsi="Arial" w:cs="Arial"/>
          <w:color w:val="auto"/>
          <w:szCs w:val="21"/>
          <w:highlight w:val="none"/>
        </w:rPr>
        <w:t>：详见须知前附表</w:t>
      </w:r>
    </w:p>
    <w:p>
      <w:pPr>
        <w:spacing w:line="288" w:lineRule="auto"/>
        <w:ind w:firstLine="420"/>
        <w:rPr>
          <w:rFonts w:ascii="Arial" w:hAnsi="Arial" w:cs="Arial"/>
          <w:b/>
          <w:bCs/>
          <w:color w:val="auto"/>
          <w:highlight w:val="none"/>
        </w:rPr>
      </w:pPr>
      <w:r>
        <w:rPr>
          <w:rFonts w:ascii="Arial" w:hAnsi="Arial" w:cs="Arial"/>
          <w:b/>
          <w:bCs/>
          <w:color w:val="auto"/>
          <w:szCs w:val="21"/>
          <w:highlight w:val="none"/>
        </w:rPr>
        <w:t>供应商</w:t>
      </w:r>
      <w:r>
        <w:rPr>
          <w:rFonts w:ascii="Arial" w:hAnsi="Arial" w:cs="Arial"/>
          <w:b/>
          <w:bCs/>
          <w:color w:val="auto"/>
          <w:highlight w:val="none"/>
        </w:rPr>
        <w:t>提供的以上相关证明材料属于“必须提供”的文件应加盖磋商供应商公章（CA签章）/自然人签字或个人CA签章，否则响应无效。</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特别说明：</w:t>
      </w:r>
    </w:p>
    <w:p>
      <w:pPr>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（1）响</w:t>
      </w:r>
      <w:r>
        <w:rPr>
          <w:rFonts w:ascii="Arial" w:hAnsi="Arial" w:cs="Arial"/>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1"/>
        </w:numPr>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磋商文件要求法定代表人（负责人）或委托代理人签字的部分必须签字然后扫描或者拍照做成 pdf 格式上传（或加盖个人CA签章），无签字的视为响应无效。</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13.计量单位</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14.竞标的风险</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供应商没有按照磋商文件要求提供全部资料，或者供应商没有对磋商文件在各方面作出实质性响应可能导致其响应无效，是供应商应当考虑的风险。</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15.响应报价要求和构成</w:t>
      </w:r>
    </w:p>
    <w:p>
      <w:pPr>
        <w:tabs>
          <w:tab w:val="left" w:pos="2492"/>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15.1响应报价应按磋商文件中“响应报价表”格式填写。</w:t>
      </w:r>
    </w:p>
    <w:p>
      <w:pPr>
        <w:tabs>
          <w:tab w:val="left" w:pos="2492"/>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15.2响应报价的价格构成见“供应商须知前附表”。</w:t>
      </w:r>
    </w:p>
    <w:p>
      <w:pPr>
        <w:spacing w:line="288" w:lineRule="auto"/>
        <w:ind w:left="426" w:leftChars="203"/>
        <w:rPr>
          <w:rFonts w:ascii="Arial" w:hAnsi="Arial" w:cs="Arial"/>
          <w:color w:val="auto"/>
          <w:szCs w:val="21"/>
          <w:highlight w:val="none"/>
        </w:rPr>
      </w:pPr>
      <w:r>
        <w:rPr>
          <w:rFonts w:ascii="Arial" w:hAnsi="Arial" w:cs="Arial"/>
          <w:color w:val="auto"/>
          <w:szCs w:val="21"/>
          <w:highlight w:val="none"/>
        </w:rPr>
        <w:t>15.3响应报价要求</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15.3.1供应商的响应报价应符合以下要求，否则响应文件按无效响应处理：</w:t>
      </w:r>
    </w:p>
    <w:p>
      <w:pPr>
        <w:spacing w:line="288" w:lineRule="auto"/>
        <w:ind w:left="420" w:leftChars="200"/>
        <w:rPr>
          <w:rFonts w:ascii="Arial" w:hAnsi="Arial" w:cs="Arial"/>
          <w:color w:val="auto"/>
          <w:szCs w:val="21"/>
          <w:highlight w:val="none"/>
        </w:rPr>
      </w:pPr>
      <w:r>
        <w:rPr>
          <w:rFonts w:ascii="Arial" w:hAnsi="Arial" w:cs="Arial"/>
          <w:color w:val="auto"/>
          <w:szCs w:val="21"/>
          <w:highlight w:val="none"/>
        </w:rPr>
        <w:t>（1）供应商必须就“采购需求”中的全部内容分别作完整唯一总价报价，不得存在漏项报价；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（2）供应商必须就所竞标的项目的单项内容作唯一报价。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15.3.2响应报价（包含首次报价、最后报价）超过规定的采购预算金额或者最高限价的，其响应文件将作无效处理。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15.3.3</w:t>
      </w:r>
      <w:bookmarkStart w:id="19" w:name="_Hlk42592874"/>
      <w:r>
        <w:rPr>
          <w:rFonts w:ascii="Arial" w:hAnsi="Arial" w:cs="Arial"/>
          <w:color w:val="auto"/>
          <w:szCs w:val="21"/>
          <w:highlight w:val="none"/>
        </w:rPr>
        <w:t>响应报价（包含首次报价、最后报价）超过分项采购预算金额或者最高限价的，其响应文件将作无效处理。</w:t>
      </w:r>
    </w:p>
    <w:bookmarkEnd w:id="19"/>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16.响应有效期</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16.1响应有效期是指为保证采购人有足够的时间在提交响应文件后完成评审、确定成交供应商、合同签订等工作而要求供应商提交的响应文件在一定时间内保持有效的期限。</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16.2响应有效期应由供应商按“供应商须知前附表”规定的期限作出响应。</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16.3供应商的响应文件在响应有效期内均保持有效。</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17.磋商保证金</w:t>
      </w:r>
    </w:p>
    <w:p>
      <w:pPr>
        <w:spacing w:line="288" w:lineRule="auto"/>
        <w:ind w:left="420" w:leftChars="200"/>
        <w:rPr>
          <w:rFonts w:ascii="Arial" w:hAnsi="Arial" w:cs="Arial"/>
          <w:color w:val="auto"/>
          <w:szCs w:val="21"/>
          <w:highlight w:val="none"/>
        </w:rPr>
      </w:pPr>
      <w:r>
        <w:rPr>
          <w:rFonts w:ascii="Arial" w:hAnsi="Arial" w:cs="Arial"/>
          <w:color w:val="auto"/>
          <w:szCs w:val="21"/>
          <w:highlight w:val="none"/>
        </w:rPr>
        <w:t>本项目不收取磋商保证金。</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18.响应文件编制的要求</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18.1本项目实行电子投标，供应商应准备电子磋商响应文件：</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 xml:space="preserve">18.1.1电子响应文件按广西政府采购云平台要求及本磋商文件要求制作、加密并递交。具体操作流程可参考《政府采购项目电子交易管理操作指南-供应商》，指南可在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18.1.2 电子磋商响应文件中须加盖供应商公章部分均采用CA签章，并根据“政府采购项目电子交易管理操作指南-供应商”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18.1.3磋商响应文件不得涂改，若有修改错漏处，须法定代表人（负责人）或授权委托人签字（或个人CA签章）。磋商响应文件因字迹潦草或表达不清所引起的后果由供应商负责。</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19.响应文件的语言及计量</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19.1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19.2 磋商计量单位，磋商文件已有明确规定的，使用磋商文件规定的计量单位；磋商文件没有规定的，应采用中华人民共和国法定计量单位（货币单位：人民币元），否则视同未响应。</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20.响应文件的提交和解密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20.1响应文件递交截止时间：详见供应商须知前附表。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20.2磋商响应文件解密时间：详见供应商须知前附表。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20.3 除竞争性磋商文件另有规定外，供应商所递交的响应文件不予退还。</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21.首次响应文件的补充、修改与撤回</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21.1响应文件递交截止时间前可以撤回电子磋商响应文件。补充或者修改电子磋商响应文件的，应当先行撤回原文件，补充、修改后重新传输递交，磋商响应文件递交截止时间前未完成传输的，视为撤回磋商响应文件。采购代理机构补充、修改的内容作为响应文件的组成部分。补充、修改的内容与响应文件不一致的，以补充、修改的内容为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21.2 在响应文件递交截止时间后的响应文件有效期内，供应商不得撤回其响应文件。</w:t>
      </w:r>
    </w:p>
    <w:p>
      <w:pPr>
        <w:spacing w:line="288" w:lineRule="auto"/>
        <w:ind w:firstLine="482" w:firstLineChars="200"/>
        <w:rPr>
          <w:rFonts w:ascii="Arial" w:hAnsi="Arial" w:cs="Arial"/>
          <w:b/>
          <w:bCs/>
          <w:color w:val="auto"/>
          <w:sz w:val="24"/>
          <w:highlight w:val="none"/>
        </w:rPr>
      </w:pPr>
      <w:bookmarkStart w:id="20" w:name="_Hlk45702405"/>
      <w:r>
        <w:rPr>
          <w:rFonts w:ascii="Arial" w:hAnsi="Arial" w:cs="Arial"/>
          <w:b/>
          <w:bCs/>
          <w:color w:val="auto"/>
          <w:sz w:val="24"/>
          <w:highlight w:val="none"/>
        </w:rPr>
        <w:t>22.首次响应文件的退回</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在首次响应文件提交截止时间止提交响应文件的供应商不足3家时，应当由供应商签字领回响应文件，除此之外采购人和采购代理机构对已提交的响应文件概不退回。</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w:t>
      </w:r>
    </w:p>
    <w:bookmarkEnd w:id="20"/>
    <w:p>
      <w:pPr>
        <w:spacing w:line="288" w:lineRule="auto"/>
        <w:ind w:left="420" w:firstLine="420"/>
        <w:jc w:val="center"/>
        <w:rPr>
          <w:rFonts w:ascii="Arial" w:hAnsi="Arial" w:cs="Arial"/>
          <w:b/>
          <w:bCs/>
          <w:color w:val="auto"/>
          <w:sz w:val="32"/>
          <w:szCs w:val="32"/>
          <w:highlight w:val="none"/>
        </w:rPr>
      </w:pPr>
      <w:r>
        <w:rPr>
          <w:rFonts w:ascii="Arial" w:hAnsi="Arial" w:cs="Arial"/>
          <w:b/>
          <w:bCs/>
          <w:color w:val="auto"/>
          <w:sz w:val="32"/>
          <w:szCs w:val="32"/>
          <w:highlight w:val="none"/>
        </w:rPr>
        <w:t>四、评审及磋商</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24.磋商小组成立</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24.3响应文件的开启：具体详见“供应商须知前附表”。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25.首次响应文件的开启</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首次响应文件由磋商小组或者采购代理机构在“供应商须知前附表”规定的时间开启。</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26.评审程序、评审方法和评审标准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26.1本项目的评审方法为综合评分法。</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26.2磋商小组按照“第四章、评审程序、评审方法和评审标准”规定的方法、评审因素、标准和程序对响应文件进行评审。</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26.3磋商的顺序：</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□按照提交首次响应文件的顺序，通知磋商时，若某供应商不在通知现场时（该供应商排序到最后磋商），按照签到的顺序由其下一位供应商先参与磋商。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☑随机排序。</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磋商时间：响应文件递交截止时间后。</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磋商地点：本项目需要磋商供应商代表在截标当天截标后，按磋商小组要求及时登陆广西政府采购云平台等候在线磋商。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磋商参加人员：供应商法定代表人、负责人、自然人或相应的委托代理人持有效身份证原件和供应商广西政府采购云平台CA数字证书参加磋商。请供应商按时到达指定地点等候磋商。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响应文件递交截止时间后，由磋商小组在评标室内线上开启响应文件。</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27.确定成交供应商及结果公告</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27.2采购代理机构应当在</w:t>
      </w:r>
      <w:r>
        <w:rPr>
          <w:rFonts w:ascii="Arial" w:hAnsi="Arial" w:cs="Arial"/>
          <w:color w:val="auto"/>
          <w:kern w:val="0"/>
          <w:szCs w:val="21"/>
          <w:highlight w:val="none"/>
        </w:rPr>
        <w:t>成交</w:t>
      </w:r>
      <w:r>
        <w:rPr>
          <w:rFonts w:ascii="Arial" w:hAnsi="Arial" w:cs="Arial"/>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288" w:lineRule="auto"/>
        <w:ind w:firstLine="420" w:firstLineChars="200"/>
        <w:rPr>
          <w:rFonts w:ascii="Arial" w:hAnsi="Arial" w:cs="Arial"/>
          <w:color w:val="auto"/>
          <w:szCs w:val="21"/>
          <w:highlight w:val="none"/>
        </w:rPr>
      </w:pPr>
      <w:r>
        <w:rPr>
          <w:rFonts w:ascii="Arial" w:hAnsi="Arial" w:cs="Arial"/>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28.履约保证金</w:t>
      </w:r>
    </w:p>
    <w:p>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本项目不收取履约保证金。</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29.签订合同</w:t>
      </w:r>
    </w:p>
    <w:p>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29.1成交供应商在收到成交通知书后，应当在签订合同时向采购人出示相关证明材料，具体内容详见“供应商须知前附表”，经采购人核验合格后方可签订合同。</w:t>
      </w:r>
    </w:p>
    <w:p>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29.2签订合同时间：成交通知书发出后8个工作日内。</w:t>
      </w:r>
    </w:p>
    <w:p>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30.政府采购合同公告</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31.询问、质疑和投诉</w:t>
      </w:r>
    </w:p>
    <w:p>
      <w:pPr>
        <w:spacing w:line="288" w:lineRule="auto"/>
        <w:ind w:firstLine="420" w:firstLineChars="200"/>
        <w:rPr>
          <w:rFonts w:ascii="Arial" w:hAnsi="Arial" w:cs="Arial"/>
          <w:color w:val="auto"/>
          <w:highlight w:val="none"/>
        </w:rPr>
      </w:pPr>
      <w:r>
        <w:rPr>
          <w:rFonts w:ascii="Arial" w:hAnsi="Arial" w:cs="Arial"/>
          <w:color w:val="auto"/>
          <w:highlight w:val="none"/>
        </w:rPr>
        <w:t>31.1供应商对政府采购活动事项有疑问的，可以向采购人、采购代理机构提出询问，采购人或者采购代理机构应当在3个工作日内对供应商依法提出的询问作出答复。</w:t>
      </w:r>
    </w:p>
    <w:p>
      <w:pPr>
        <w:spacing w:line="288" w:lineRule="auto"/>
        <w:ind w:firstLine="420" w:firstLineChars="200"/>
        <w:rPr>
          <w:rFonts w:ascii="Arial" w:hAnsi="Arial" w:cs="Arial"/>
          <w:color w:val="auto"/>
          <w:highlight w:val="none"/>
        </w:rPr>
      </w:pPr>
      <w:r>
        <w:rPr>
          <w:rFonts w:ascii="Arial" w:hAnsi="Arial" w:cs="Arial"/>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ascii="Arial" w:hAnsi="Arial" w:cs="Arial"/>
          <w:color w:val="auto"/>
          <w:szCs w:val="21"/>
          <w:highlight w:val="none"/>
        </w:rPr>
        <w:t>“供应商须知前附表”</w:t>
      </w:r>
      <w:r>
        <w:rPr>
          <w:rFonts w:ascii="Arial" w:hAnsi="Arial" w:cs="Arial"/>
          <w:color w:val="auto"/>
          <w:highlight w:val="none"/>
        </w:rPr>
        <w:t>。具体质疑起算时间如下：</w:t>
      </w:r>
    </w:p>
    <w:p>
      <w:pPr>
        <w:spacing w:line="288" w:lineRule="auto"/>
        <w:ind w:firstLine="420" w:firstLineChars="200"/>
        <w:rPr>
          <w:rFonts w:ascii="Arial" w:hAnsi="Arial" w:cs="Arial"/>
          <w:color w:val="auto"/>
          <w:highlight w:val="none"/>
        </w:rPr>
      </w:pPr>
      <w:r>
        <w:rPr>
          <w:rFonts w:ascii="Arial" w:hAnsi="Arial" w:cs="Arial"/>
          <w:color w:val="auto"/>
          <w:highlight w:val="none"/>
        </w:rPr>
        <w:t>（1）对可以质疑的磋商文件提出质疑的，为收到磋商文件之日或者竞争性磋商公告期限届满之日；</w:t>
      </w:r>
    </w:p>
    <w:p>
      <w:pPr>
        <w:spacing w:line="288" w:lineRule="auto"/>
        <w:ind w:firstLine="420" w:firstLineChars="200"/>
        <w:rPr>
          <w:rFonts w:ascii="Arial" w:hAnsi="Arial" w:cs="Arial"/>
          <w:color w:val="auto"/>
          <w:highlight w:val="none"/>
        </w:rPr>
      </w:pPr>
      <w:r>
        <w:rPr>
          <w:rFonts w:ascii="Arial" w:hAnsi="Arial" w:cs="Arial"/>
          <w:color w:val="auto"/>
          <w:highlight w:val="none"/>
        </w:rPr>
        <w:t>（2）对采购过程提出质疑的，为各采购程序环节结束之日；</w:t>
      </w:r>
    </w:p>
    <w:p>
      <w:pPr>
        <w:spacing w:line="288" w:lineRule="auto"/>
        <w:ind w:firstLine="420" w:firstLineChars="200"/>
        <w:rPr>
          <w:rFonts w:ascii="Arial" w:hAnsi="Arial" w:cs="Arial"/>
          <w:color w:val="auto"/>
          <w:highlight w:val="none"/>
        </w:rPr>
      </w:pPr>
      <w:r>
        <w:rPr>
          <w:rFonts w:ascii="Arial" w:hAnsi="Arial" w:cs="Arial"/>
          <w:color w:val="auto"/>
          <w:highlight w:val="none"/>
        </w:rPr>
        <w:t>（3）对成交结果提出质疑的，为成交结果公告期限届满之日。</w:t>
      </w:r>
    </w:p>
    <w:p>
      <w:pPr>
        <w:spacing w:line="288" w:lineRule="auto"/>
        <w:ind w:firstLine="420" w:firstLineChars="200"/>
        <w:rPr>
          <w:rFonts w:ascii="Arial" w:hAnsi="Arial" w:cs="Arial"/>
          <w:color w:val="auto"/>
          <w:highlight w:val="none"/>
        </w:rPr>
      </w:pPr>
      <w:r>
        <w:rPr>
          <w:rFonts w:ascii="Arial" w:hAnsi="Arial" w:cs="Arial"/>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288" w:lineRule="auto"/>
        <w:ind w:firstLine="420" w:firstLineChars="200"/>
        <w:rPr>
          <w:rFonts w:ascii="Arial" w:hAnsi="Arial" w:cs="Arial"/>
          <w:color w:val="auto"/>
          <w:highlight w:val="none"/>
        </w:rPr>
      </w:pPr>
      <w:r>
        <w:rPr>
          <w:rFonts w:ascii="Arial" w:hAnsi="Arial" w:cs="Arial"/>
          <w:color w:val="auto"/>
          <w:highlight w:val="none"/>
        </w:rPr>
        <w:t>31.4供应商提出质疑应当提交质疑函和必要的证明材料，针对同一采购程序环节的质疑必须在法定质疑期内一次性提出。质疑函应当包括下列内容</w:t>
      </w:r>
      <w:r>
        <w:rPr>
          <w:rFonts w:ascii="Arial" w:hAnsi="Arial" w:cs="Arial"/>
          <w:bCs/>
          <w:color w:val="auto"/>
          <w:highlight w:val="none"/>
        </w:rPr>
        <w:t>（质疑函格式后附）</w:t>
      </w:r>
      <w:r>
        <w:rPr>
          <w:rFonts w:ascii="Arial" w:hAnsi="Arial" w:cs="Arial"/>
          <w:color w:val="auto"/>
          <w:highlight w:val="none"/>
        </w:rPr>
        <w:t>：</w:t>
      </w:r>
    </w:p>
    <w:p>
      <w:pPr>
        <w:spacing w:line="288" w:lineRule="auto"/>
        <w:ind w:firstLine="420" w:firstLineChars="200"/>
        <w:rPr>
          <w:rFonts w:ascii="Arial" w:hAnsi="Arial" w:cs="Arial"/>
          <w:color w:val="auto"/>
          <w:highlight w:val="none"/>
        </w:rPr>
      </w:pPr>
      <w:r>
        <w:rPr>
          <w:rFonts w:ascii="Arial" w:hAnsi="Arial" w:cs="Arial"/>
          <w:color w:val="auto"/>
          <w:highlight w:val="none"/>
        </w:rPr>
        <w:t>（1）供应商的姓名或者名称、地址、邮编、联系人及联系电话；</w:t>
      </w:r>
    </w:p>
    <w:p>
      <w:pPr>
        <w:spacing w:line="288" w:lineRule="auto"/>
        <w:ind w:firstLine="420" w:firstLineChars="200"/>
        <w:rPr>
          <w:rFonts w:ascii="Arial" w:hAnsi="Arial" w:cs="Arial"/>
          <w:color w:val="auto"/>
          <w:highlight w:val="none"/>
        </w:rPr>
      </w:pPr>
      <w:r>
        <w:rPr>
          <w:rFonts w:ascii="Arial" w:hAnsi="Arial" w:cs="Arial"/>
          <w:color w:val="auto"/>
          <w:highlight w:val="none"/>
        </w:rPr>
        <w:t>（2）质疑项目的名称、编号；</w:t>
      </w:r>
    </w:p>
    <w:p>
      <w:pPr>
        <w:spacing w:line="288" w:lineRule="auto"/>
        <w:ind w:firstLine="420" w:firstLineChars="200"/>
        <w:rPr>
          <w:rFonts w:ascii="Arial" w:hAnsi="Arial" w:cs="Arial"/>
          <w:color w:val="auto"/>
          <w:highlight w:val="none"/>
        </w:rPr>
      </w:pPr>
      <w:r>
        <w:rPr>
          <w:rFonts w:ascii="Arial" w:hAnsi="Arial" w:cs="Arial"/>
          <w:color w:val="auto"/>
          <w:highlight w:val="none"/>
        </w:rPr>
        <w:t>（3）具体、明确的质疑事项和与质疑事项相关的请求；</w:t>
      </w:r>
    </w:p>
    <w:p>
      <w:pPr>
        <w:spacing w:line="288" w:lineRule="auto"/>
        <w:ind w:firstLine="420" w:firstLineChars="200"/>
        <w:rPr>
          <w:rFonts w:ascii="Arial" w:hAnsi="Arial" w:cs="Arial"/>
          <w:color w:val="auto"/>
          <w:highlight w:val="none"/>
        </w:rPr>
      </w:pPr>
      <w:r>
        <w:rPr>
          <w:rFonts w:ascii="Arial" w:hAnsi="Arial" w:cs="Arial"/>
          <w:color w:val="auto"/>
          <w:highlight w:val="none"/>
        </w:rPr>
        <w:t>（4）事实依据；</w:t>
      </w:r>
    </w:p>
    <w:p>
      <w:pPr>
        <w:spacing w:line="288" w:lineRule="auto"/>
        <w:ind w:firstLine="420" w:firstLineChars="200"/>
        <w:rPr>
          <w:rFonts w:ascii="Arial" w:hAnsi="Arial" w:cs="Arial"/>
          <w:color w:val="auto"/>
          <w:highlight w:val="none"/>
        </w:rPr>
      </w:pPr>
      <w:r>
        <w:rPr>
          <w:rFonts w:ascii="Arial" w:hAnsi="Arial" w:cs="Arial"/>
          <w:color w:val="auto"/>
          <w:highlight w:val="none"/>
        </w:rPr>
        <w:t>（5）必要的法律依据；</w:t>
      </w:r>
    </w:p>
    <w:p>
      <w:pPr>
        <w:spacing w:line="288" w:lineRule="auto"/>
        <w:ind w:firstLine="420" w:firstLineChars="200"/>
        <w:rPr>
          <w:rFonts w:ascii="Arial" w:hAnsi="Arial" w:cs="Arial"/>
          <w:color w:val="auto"/>
          <w:highlight w:val="none"/>
        </w:rPr>
      </w:pPr>
      <w:r>
        <w:rPr>
          <w:rFonts w:ascii="Arial" w:hAnsi="Arial" w:cs="Arial"/>
          <w:color w:val="auto"/>
          <w:highlight w:val="none"/>
        </w:rPr>
        <w:t>（6）提出质疑的日期。</w:t>
      </w:r>
    </w:p>
    <w:p>
      <w:pPr>
        <w:spacing w:line="288" w:lineRule="auto"/>
        <w:ind w:firstLine="420" w:firstLineChars="200"/>
        <w:rPr>
          <w:rFonts w:ascii="Arial" w:hAnsi="Arial" w:cs="Arial"/>
          <w:color w:val="auto"/>
          <w:highlight w:val="none"/>
        </w:rPr>
      </w:pPr>
      <w:r>
        <w:rPr>
          <w:rFonts w:ascii="Arial" w:hAnsi="Arial" w:cs="Arial"/>
          <w:color w:val="auto"/>
          <w:highlight w:val="none"/>
        </w:rPr>
        <w:t>供应商为自然人的，应当由本人签字；供应商为法人或者其他组织的，应当由法定代表人、主要负责人，或者其委托代理人签字或者盖章，并加盖公章。</w:t>
      </w:r>
    </w:p>
    <w:p>
      <w:pPr>
        <w:spacing w:line="288" w:lineRule="auto"/>
        <w:ind w:firstLine="420" w:firstLineChars="200"/>
        <w:rPr>
          <w:rFonts w:ascii="Arial" w:hAnsi="Arial" w:cs="Arial"/>
          <w:color w:val="auto"/>
          <w:highlight w:val="none"/>
        </w:rPr>
      </w:pPr>
      <w:r>
        <w:rPr>
          <w:rFonts w:ascii="Arial" w:hAnsi="Arial" w:cs="Arial"/>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288" w:lineRule="auto"/>
        <w:ind w:firstLine="420" w:firstLineChars="200"/>
        <w:rPr>
          <w:rFonts w:ascii="Arial" w:hAnsi="Arial" w:cs="Arial"/>
          <w:color w:val="auto"/>
          <w:highlight w:val="none"/>
        </w:rPr>
      </w:pPr>
      <w:r>
        <w:rPr>
          <w:rFonts w:ascii="Arial" w:hAnsi="Arial" w:cs="Arial"/>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288" w:lineRule="auto"/>
        <w:ind w:firstLine="420" w:firstLineChars="200"/>
        <w:rPr>
          <w:rFonts w:ascii="Arial" w:hAnsi="Arial" w:cs="Arial"/>
          <w:color w:val="auto"/>
          <w:highlight w:val="none"/>
        </w:rPr>
      </w:pPr>
      <w:r>
        <w:rPr>
          <w:rFonts w:ascii="Arial" w:hAnsi="Arial" w:cs="Arial"/>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288" w:lineRule="auto"/>
        <w:ind w:firstLine="420" w:firstLineChars="200"/>
        <w:rPr>
          <w:rFonts w:ascii="Arial" w:hAnsi="Arial" w:cs="Arial"/>
          <w:color w:val="auto"/>
          <w:highlight w:val="none"/>
        </w:rPr>
      </w:pPr>
      <w:r>
        <w:rPr>
          <w:rFonts w:ascii="Arial" w:hAnsi="Arial" w:cs="Arial"/>
          <w:color w:val="auto"/>
          <w:highlight w:val="none"/>
        </w:rPr>
        <w:t>质疑答复导致成交结果改变的，采购人或者采购代理机构应当将有关情况书面报告本级财政部门。</w:t>
      </w:r>
    </w:p>
    <w:p>
      <w:pPr>
        <w:spacing w:line="288" w:lineRule="auto"/>
        <w:ind w:firstLine="420" w:firstLineChars="200"/>
        <w:rPr>
          <w:rFonts w:ascii="Arial" w:hAnsi="Arial" w:cs="Arial"/>
          <w:color w:val="auto"/>
          <w:szCs w:val="21"/>
          <w:highlight w:val="none"/>
        </w:rPr>
      </w:pPr>
      <w:r>
        <w:rPr>
          <w:rFonts w:ascii="Arial" w:hAnsi="Arial" w:cs="Arial"/>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32.其他内容</w:t>
      </w:r>
    </w:p>
    <w:p>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32.1代理服务收费标准及缴费账户详见“供应商须知前附表”，供应商为联合体的，可以由联合体中的一方或者多方共同交纳代理服务费。</w:t>
      </w:r>
    </w:p>
    <w:p>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32.2代理服务费收费计算标准：详见供应商须知前附表。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33.需要补充的其他内容</w:t>
      </w:r>
    </w:p>
    <w:p>
      <w:pPr>
        <w:spacing w:line="288" w:lineRule="auto"/>
        <w:ind w:firstLine="420" w:firstLineChars="200"/>
        <w:rPr>
          <w:rFonts w:ascii="Arial" w:hAnsi="Arial" w:cs="Arial"/>
          <w:color w:val="auto"/>
          <w:highlight w:val="none"/>
        </w:rPr>
      </w:pPr>
      <w:r>
        <w:rPr>
          <w:rFonts w:ascii="Arial" w:hAnsi="Arial" w:cs="Arial"/>
          <w:color w:val="auto"/>
          <w:highlight w:val="none"/>
        </w:rPr>
        <w:t>33.1本磋商文件解释规则详见“供应商须知前附表”。</w:t>
      </w:r>
    </w:p>
    <w:p>
      <w:pPr>
        <w:spacing w:line="288" w:lineRule="auto"/>
        <w:ind w:firstLine="420" w:firstLineChars="200"/>
        <w:rPr>
          <w:rFonts w:ascii="Arial" w:hAnsi="Arial" w:cs="Arial"/>
          <w:color w:val="auto"/>
          <w:highlight w:val="none"/>
        </w:rPr>
      </w:pPr>
      <w:r>
        <w:rPr>
          <w:rFonts w:ascii="Arial" w:hAnsi="Arial" w:cs="Arial"/>
          <w:color w:val="auto"/>
          <w:highlight w:val="none"/>
        </w:rPr>
        <w:t>33.2其他事项详见“供应商须知前附表”。</w:t>
      </w:r>
    </w:p>
    <w:p>
      <w:pPr>
        <w:widowControl/>
        <w:spacing w:line="288" w:lineRule="auto"/>
        <w:ind w:firstLine="420" w:firstLineChars="200"/>
        <w:rPr>
          <w:rFonts w:ascii="Arial" w:hAnsi="Arial" w:cs="Arial"/>
          <w:color w:val="auto"/>
          <w:kern w:val="0"/>
          <w:szCs w:val="21"/>
          <w:highlight w:val="none"/>
        </w:rPr>
      </w:pPr>
      <w:r>
        <w:rPr>
          <w:rFonts w:ascii="Arial" w:hAnsi="Arial" w:cs="Arial"/>
          <w:color w:val="auto"/>
          <w:highlight w:val="none"/>
        </w:rPr>
        <w:t>33.3</w:t>
      </w:r>
      <w:r>
        <w:rPr>
          <w:rFonts w:ascii="Arial" w:hAnsi="Arial" w:cs="Arial"/>
          <w:color w:val="auto"/>
          <w:kern w:val="0"/>
          <w:szCs w:val="21"/>
          <w:highlight w:val="none"/>
        </w:rPr>
        <w:t>在线投标响应（电子投标）说明</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33.3.1本项目通过广西政府采购云平台实行在线投标响应（电子投标），供应商需要先安装“政采云电子交易客户端”，并按照本磋商文件和广西政府采购云平台的要求，通过“政采云电子交易客户端”编制并加密响应文件。供应商未按规定编制并加密的响应文件，广西政府采购云平台将予以拒收。“政采云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政采云投标客户端时，建议使用WIN7及以上操作系统,通过广西政府采购云平台参与在线投标时如遇平台技术问题详询95763。</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33.3.2为确保网上操作合法、有效和安全，磋商供应商应当在磋商截止时间前完成在“政府采购云平台”的身份认证，确保在电子投标过程中能够对相关数据电文进行加密和使用电子签章。使用“政采云电子交易客户端”需要提前申领CA数字证书，申领流程请自行前往广西政府采购云平台网站进行查阅；（完成CA数字证书办理预计一周左右，建议供应商获取磋商文件后立即办理。）</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33.3.4本项目需要磋商供应商代表在截标当天截标后，按磋商小组要求及时登陆广西政府采购云平台等候在线磋商及提交最后报价。</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33.3.5监督管理机构：</w:t>
      </w:r>
      <w:r>
        <w:rPr>
          <w:rFonts w:hint="eastAsia" w:ascii="Arial" w:hAnsi="Arial" w:cs="Arial"/>
          <w:color w:val="auto"/>
          <w:szCs w:val="21"/>
          <w:highlight w:val="none"/>
        </w:rPr>
        <w:t>兴安县财政局</w:t>
      </w:r>
      <w:r>
        <w:rPr>
          <w:rFonts w:ascii="Arial" w:hAnsi="Arial" w:cs="Arial"/>
          <w:color w:val="auto"/>
          <w:szCs w:val="21"/>
          <w:highlight w:val="none"/>
        </w:rPr>
        <w:t>； 联系电话：</w:t>
      </w:r>
      <w:r>
        <w:rPr>
          <w:rFonts w:hint="eastAsia" w:ascii="Arial" w:hAnsi="Arial" w:cs="Arial"/>
          <w:color w:val="auto"/>
          <w:szCs w:val="21"/>
          <w:highlight w:val="none"/>
        </w:rPr>
        <w:t>0773-6220651</w:t>
      </w:r>
    </w:p>
    <w:p>
      <w:pPr>
        <w:widowControl/>
        <w:jc w:val="left"/>
        <w:rPr>
          <w:rFonts w:ascii="Arial" w:hAnsi="Arial" w:cs="Arial"/>
          <w:color w:val="auto"/>
          <w:highlight w:val="none"/>
        </w:rPr>
      </w:pPr>
      <w:r>
        <w:rPr>
          <w:rFonts w:ascii="Arial" w:hAnsi="Arial" w:cs="Arial"/>
          <w:b/>
          <w:color w:val="auto"/>
          <w:highlight w:val="none"/>
        </w:rPr>
        <w:br w:type="page"/>
      </w:r>
      <w:r>
        <w:rPr>
          <w:rFonts w:ascii="Arial" w:hAnsi="Arial" w:cs="Arial"/>
          <w:b/>
          <w:bCs/>
          <w:color w:val="auto"/>
          <w:kern w:val="0"/>
          <w:sz w:val="31"/>
          <w:szCs w:val="31"/>
          <w:highlight w:val="none"/>
          <w:lang w:bidi="ar"/>
        </w:rPr>
        <w:t xml:space="preserve">附件1： </w:t>
      </w:r>
    </w:p>
    <w:p>
      <w:pPr>
        <w:widowControl/>
        <w:jc w:val="center"/>
        <w:rPr>
          <w:rFonts w:ascii="Arial" w:hAnsi="Arial" w:cs="Arial"/>
          <w:color w:val="auto"/>
          <w:highlight w:val="none"/>
        </w:rPr>
      </w:pPr>
      <w:r>
        <w:rPr>
          <w:rFonts w:ascii="Arial" w:hAnsi="Arial" w:cs="Arial"/>
          <w:b/>
          <w:bCs/>
          <w:color w:val="auto"/>
          <w:kern w:val="0"/>
          <w:sz w:val="31"/>
          <w:szCs w:val="31"/>
          <w:highlight w:val="none"/>
          <w:lang w:bidi="ar"/>
        </w:rPr>
        <w:t>质疑函范本</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一、质疑供应商基本信息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质疑供应商：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地址： 邮编：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联系人： 联系电话：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授权代表：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联系电话：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地址： 邮编：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二、质疑项目基本情况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质疑项目的名称：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质疑项目的编号： 包号：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采购人名称：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采购文件获取日期：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三、质疑事项具体内容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质疑事项 1：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事实依据：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法律依据：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质疑事项 2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四、与质疑事项相关的质疑请求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请求：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签字(签章)： 公章： </w:t>
      </w:r>
    </w:p>
    <w:p>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日期： </w:t>
      </w:r>
    </w:p>
    <w:p>
      <w:pPr>
        <w:widowControl/>
        <w:spacing w:line="288" w:lineRule="auto"/>
        <w:jc w:val="left"/>
        <w:rPr>
          <w:rFonts w:ascii="Arial" w:hAnsi="Arial" w:cs="Arial"/>
          <w:b/>
          <w:bCs/>
          <w:color w:val="auto"/>
          <w:kern w:val="0"/>
          <w:sz w:val="31"/>
          <w:szCs w:val="31"/>
          <w:highlight w:val="none"/>
          <w:lang w:bidi="ar"/>
        </w:rPr>
      </w:pPr>
    </w:p>
    <w:p>
      <w:pPr>
        <w:widowControl/>
        <w:spacing w:line="288" w:lineRule="auto"/>
        <w:jc w:val="left"/>
        <w:rPr>
          <w:rFonts w:ascii="Arial" w:hAnsi="Arial" w:cs="Arial"/>
          <w:color w:val="auto"/>
          <w:sz w:val="24"/>
          <w:highlight w:val="none"/>
        </w:rPr>
      </w:pPr>
      <w:r>
        <w:rPr>
          <w:rFonts w:ascii="Arial" w:hAnsi="Arial" w:cs="Arial"/>
          <w:b/>
          <w:bCs/>
          <w:color w:val="auto"/>
          <w:kern w:val="0"/>
          <w:sz w:val="24"/>
          <w:highlight w:val="none"/>
          <w:lang w:bidi="ar"/>
        </w:rPr>
        <w:t xml:space="preserve">质疑函制作说明：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1.供应商提出质疑时，应提交质疑函和必要的证明材料。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3.质疑供应商若对项目的某一分包进行质疑，质疑函中应列明具体分包号。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4.质疑函的质疑事项应具体、明确，并有必要的事实依据和法律依据。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5.质疑函的质疑请求应与质疑事项相关。 </w:t>
      </w:r>
    </w:p>
    <w:p>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6.质疑供应商为自然人的，质疑函应由本人签字；质疑供应商为法人或者其他组织的，质疑函应由法定代表人、主要负责人，或者其授权代表签字或者盖章，并加盖公章。 </w:t>
      </w:r>
    </w:p>
    <w:p>
      <w:pPr>
        <w:spacing w:line="288" w:lineRule="auto"/>
        <w:ind w:firstLine="422" w:firstLineChars="200"/>
        <w:rPr>
          <w:rFonts w:ascii="Arial" w:hAnsi="Arial" w:cs="Arial"/>
          <w:color w:val="auto"/>
          <w:highlight w:val="none"/>
        </w:rPr>
      </w:pPr>
      <w:r>
        <w:rPr>
          <w:rFonts w:ascii="Arial" w:hAnsi="Arial" w:cs="Arial"/>
          <w:b/>
          <w:color w:val="auto"/>
          <w:highlight w:val="none"/>
        </w:rPr>
        <w:br w:type="page"/>
      </w:r>
      <w:r>
        <w:rPr>
          <w:rFonts w:ascii="Arial" w:hAnsi="Arial" w:cs="Arial"/>
          <w:b/>
          <w:color w:val="auto"/>
          <w:sz w:val="32"/>
          <w:szCs w:val="32"/>
          <w:highlight w:val="none"/>
        </w:rPr>
        <w:t>附件2：</w:t>
      </w:r>
    </w:p>
    <w:p>
      <w:pPr>
        <w:widowControl/>
        <w:spacing w:line="288" w:lineRule="auto"/>
        <w:jc w:val="center"/>
        <w:rPr>
          <w:rFonts w:ascii="Arial" w:hAnsi="Arial" w:eastAsia="仿宋" w:cs="Arial"/>
          <w:color w:val="auto"/>
          <w:kern w:val="0"/>
          <w:sz w:val="32"/>
          <w:szCs w:val="32"/>
          <w:highlight w:val="none"/>
        </w:rPr>
      </w:pPr>
      <w:r>
        <w:rPr>
          <w:rFonts w:ascii="Arial" w:hAnsi="Arial" w:cs="Arial"/>
          <w:b/>
          <w:bCs/>
          <w:color w:val="auto"/>
          <w:kern w:val="0"/>
          <w:sz w:val="32"/>
          <w:szCs w:val="32"/>
          <w:highlight w:val="none"/>
        </w:rPr>
        <w:t>广西壮族自治区政府采购项目合同验收书（格式）</w:t>
      </w:r>
    </w:p>
    <w:p>
      <w:pPr>
        <w:widowControl/>
        <w:snapToGrid w:val="0"/>
        <w:spacing w:line="288" w:lineRule="auto"/>
        <w:ind w:firstLine="48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采购合同编号：</w:t>
      </w:r>
      <w:r>
        <w:rPr>
          <w:rFonts w:ascii="Arial" w:hAnsi="Arial" w:cs="Arial"/>
          <w:color w:val="auto"/>
          <w:kern w:val="0"/>
          <w:szCs w:val="21"/>
          <w:highlight w:val="none"/>
          <w:u w:val="single"/>
        </w:rPr>
        <w:softHyphen/>
      </w:r>
      <w:r>
        <w:rPr>
          <w:rFonts w:ascii="Arial" w:hAnsi="Arial" w:cs="Arial"/>
          <w:color w:val="auto"/>
          <w:kern w:val="0"/>
          <w:szCs w:val="21"/>
          <w:highlight w:val="none"/>
        </w:rPr>
        <w:t>）的约定，我单位对（</w:t>
      </w:r>
      <w:r>
        <w:rPr>
          <w:rFonts w:ascii="Arial" w:hAnsi="Arial" w:cs="Arial"/>
          <w:color w:val="auto"/>
          <w:kern w:val="0"/>
          <w:szCs w:val="21"/>
          <w:highlight w:val="none"/>
          <w:u w:val="single"/>
        </w:rPr>
        <w:t>项目名称</w:t>
      </w:r>
      <w:r>
        <w:rPr>
          <w:rFonts w:ascii="Arial" w:hAnsi="Arial" w:cs="Arial"/>
          <w:color w:val="auto"/>
          <w:kern w:val="0"/>
          <w:szCs w:val="21"/>
          <w:highlight w:val="none"/>
        </w:rPr>
        <w:t>）政府采购项目成交供应商（</w:t>
      </w:r>
      <w:r>
        <w:rPr>
          <w:rFonts w:ascii="Arial" w:hAnsi="Arial" w:cs="Arial"/>
          <w:color w:val="auto"/>
          <w:kern w:val="0"/>
          <w:szCs w:val="21"/>
          <w:highlight w:val="none"/>
          <w:u w:val="single"/>
        </w:rPr>
        <w:t>公司名称</w:t>
      </w:r>
      <w:r>
        <w:rPr>
          <w:rFonts w:ascii="Arial" w:hAnsi="Arial" w:cs="Arial"/>
          <w:color w:val="auto"/>
          <w:kern w:val="0"/>
          <w:szCs w:val="21"/>
          <w:highlight w:val="none"/>
        </w:rPr>
        <w:t>）提供的货物（或者工程、服务）进行了验收，验收情况如下：</w:t>
      </w:r>
    </w:p>
    <w:tbl>
      <w:tblPr>
        <w:tblStyle w:val="3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5"/>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jc w:val="center"/>
              <w:rPr>
                <w:rFonts w:ascii="Arial" w:hAnsi="Arial" w:cs="Arial"/>
                <w:color w:val="auto"/>
                <w:kern w:val="0"/>
                <w:szCs w:val="21"/>
                <w:highlight w:val="none"/>
              </w:rPr>
            </w:pPr>
            <w:r>
              <w:rPr>
                <w:rFonts w:ascii="Arial" w:hAnsi="Arial" w:cs="Arial"/>
                <w:color w:val="auto"/>
                <w:kern w:val="0"/>
                <w:szCs w:val="21"/>
                <w:highlight w:val="none"/>
              </w:rPr>
              <w:sym w:font="Wingdings 2" w:char="00A3"/>
            </w:r>
            <w:r>
              <w:rPr>
                <w:rFonts w:ascii="Arial" w:hAnsi="Arial" w:cs="Arial"/>
                <w:color w:val="auto"/>
                <w:kern w:val="0"/>
                <w:szCs w:val="21"/>
                <w:highlight w:val="none"/>
              </w:rPr>
              <w:t>自行验收</w:t>
            </w:r>
            <w:r>
              <w:rPr>
                <w:rFonts w:ascii="Arial" w:hAnsi="Arial" w:cs="Arial"/>
                <w:color w:val="auto"/>
                <w:kern w:val="0"/>
                <w:szCs w:val="21"/>
                <w:highlight w:val="none"/>
              </w:rPr>
              <w:sym w:font="Wingdings 2" w:char="00A3"/>
            </w:r>
            <w:r>
              <w:rPr>
                <w:rFonts w:ascii="Arial" w:hAnsi="Arial" w:cs="Arial"/>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5"/>
              <w:jc w:val="center"/>
              <w:rPr>
                <w:rFonts w:ascii="Arial" w:hAnsi="Arial" w:cs="Arial"/>
                <w:color w:val="auto"/>
                <w:kern w:val="0"/>
                <w:szCs w:val="21"/>
                <w:highlight w:val="none"/>
              </w:rPr>
            </w:pPr>
            <w:r>
              <w:rPr>
                <w:rFonts w:ascii="Arial" w:hAnsi="Arial" w:cs="Arial"/>
                <w:color w:val="auto"/>
                <w:kern w:val="0"/>
                <w:szCs w:val="21"/>
                <w:highlight w:val="none"/>
              </w:rPr>
              <w:t>合计</w:t>
            </w: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288" w:lineRule="auto"/>
              <w:ind w:firstLine="46"/>
              <w:jc w:val="center"/>
              <w:rPr>
                <w:rFonts w:ascii="Arial" w:hAnsi="Arial" w:cs="Arial"/>
                <w:color w:val="auto"/>
                <w:kern w:val="0"/>
                <w:szCs w:val="21"/>
                <w:highlight w:val="none"/>
              </w:rPr>
            </w:pPr>
            <w:r>
              <w:rPr>
                <w:rFonts w:ascii="Arial" w:hAnsi="Arial" w:cs="Arial"/>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jc w:val="center"/>
              <w:rPr>
                <w:rFonts w:ascii="Arial" w:hAnsi="Arial" w:cs="Arial"/>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pPr>
              <w:widowControl/>
              <w:spacing w:line="288" w:lineRule="auto"/>
              <w:jc w:val="left"/>
              <w:rPr>
                <w:rFonts w:ascii="Arial" w:hAnsi="Arial" w:cs="Arial"/>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监督人员或者其他相关人员签字：</w:t>
            </w:r>
          </w:p>
          <w:p>
            <w:pPr>
              <w:widowControl/>
              <w:spacing w:before="100" w:beforeAutospacing="1" w:after="100" w:afterAutospacing="1" w:line="288" w:lineRule="auto"/>
              <w:ind w:firstLine="74"/>
              <w:jc w:val="left"/>
              <w:rPr>
                <w:rFonts w:ascii="Arial" w:hAnsi="Arial" w:cs="Arial"/>
                <w:color w:val="auto"/>
                <w:kern w:val="0"/>
                <w:szCs w:val="21"/>
                <w:highlight w:val="none"/>
              </w:rPr>
            </w:pPr>
            <w:r>
              <w:rPr>
                <w:rFonts w:ascii="Arial" w:hAnsi="Arial" w:cs="Arial"/>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成交供应商负责人签字或者盖章：</w:t>
            </w:r>
          </w:p>
          <w:p>
            <w:pPr>
              <w:widowControl/>
              <w:spacing w:before="100" w:beforeAutospacing="1" w:after="100" w:afterAutospacing="1" w:line="288" w:lineRule="auto"/>
              <w:jc w:val="left"/>
              <w:rPr>
                <w:rFonts w:ascii="Arial" w:hAnsi="Arial" w:cs="Arial"/>
                <w:color w:val="auto"/>
                <w:kern w:val="0"/>
                <w:szCs w:val="21"/>
                <w:highlight w:val="none"/>
              </w:rPr>
            </w:pPr>
          </w:p>
          <w:p>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noWrap w:val="0"/>
            <w:vAlign w:val="center"/>
          </w:tcPr>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采购人或者受托机构的意见（盖章）：</w:t>
            </w:r>
          </w:p>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p>
          <w:p>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r>
    </w:tbl>
    <w:p>
      <w:pPr>
        <w:pStyle w:val="3"/>
        <w:spacing w:line="288" w:lineRule="auto"/>
        <w:jc w:val="center"/>
        <w:rPr>
          <w:rFonts w:ascii="Arial" w:hAnsi="Arial" w:cs="Arial"/>
          <w:color w:val="auto"/>
          <w:highlight w:val="none"/>
        </w:rPr>
      </w:pPr>
      <w:r>
        <w:rPr>
          <w:rFonts w:ascii="Arial" w:hAnsi="Arial" w:cs="Arial"/>
          <w:color w:val="auto"/>
          <w:highlight w:val="none"/>
        </w:rPr>
        <w:br w:type="page"/>
      </w:r>
      <w:bookmarkStart w:id="21" w:name="_Toc44229895"/>
      <w:bookmarkStart w:id="22" w:name="_Toc29079"/>
      <w:r>
        <w:rPr>
          <w:rFonts w:ascii="Arial" w:hAnsi="Arial" w:cs="Arial"/>
          <w:color w:val="auto"/>
          <w:highlight w:val="none"/>
        </w:rPr>
        <w:t>第三章</w:t>
      </w:r>
      <w:bookmarkEnd w:id="21"/>
      <w:bookmarkEnd w:id="22"/>
      <w:r>
        <w:rPr>
          <w:rFonts w:hint="eastAsia" w:ascii="Arial" w:hAnsi="Arial" w:cs="Arial"/>
          <w:color w:val="auto"/>
          <w:highlight w:val="none"/>
        </w:rPr>
        <w:t xml:space="preserve">  </w:t>
      </w:r>
      <w:r>
        <w:rPr>
          <w:rFonts w:ascii="Arial" w:hAnsi="Arial" w:cs="Arial"/>
          <w:color w:val="auto"/>
          <w:highlight w:val="none"/>
        </w:rPr>
        <w:t>采购需求</w:t>
      </w:r>
    </w:p>
    <w:p>
      <w:pPr>
        <w:widowControl/>
        <w:adjustRightInd w:val="0"/>
        <w:snapToGrid w:val="0"/>
        <w:spacing w:line="360" w:lineRule="auto"/>
        <w:jc w:val="left"/>
        <w:rPr>
          <w:rFonts w:ascii="Arial" w:hAnsi="Arial" w:cs="Arial"/>
          <w:color w:val="auto"/>
          <w:szCs w:val="21"/>
          <w:highlight w:val="none"/>
        </w:rPr>
      </w:pPr>
      <w:r>
        <w:rPr>
          <w:rFonts w:hint="eastAsia" w:ascii="Arial" w:hAnsi="Arial" w:cs="Arial"/>
          <w:b/>
          <w:bCs/>
          <w:color w:val="auto"/>
          <w:kern w:val="0"/>
          <w:szCs w:val="21"/>
          <w:highlight w:val="none"/>
          <w:lang w:bidi="ar"/>
        </w:rPr>
        <w:t>说明：</w:t>
      </w:r>
      <w:r>
        <w:rPr>
          <w:rFonts w:ascii="Arial" w:hAnsi="Arial" w:cs="Arial"/>
          <w:b/>
          <w:bCs/>
          <w:color w:val="auto"/>
          <w:kern w:val="0"/>
          <w:szCs w:val="21"/>
          <w:highlight w:val="none"/>
          <w:lang w:bidi="ar"/>
        </w:rPr>
        <w:t xml:space="preserve">本项目需要落实的政府采购政策： </w:t>
      </w:r>
    </w:p>
    <w:p>
      <w:pPr>
        <w:widowControl/>
        <w:adjustRightInd w:val="0"/>
        <w:snapToGrid w:val="0"/>
        <w:spacing w:line="360" w:lineRule="auto"/>
        <w:ind w:firstLine="422" w:firstLineChars="200"/>
        <w:jc w:val="left"/>
        <w:rPr>
          <w:rFonts w:ascii="Arial" w:hAnsi="Arial" w:cs="Arial"/>
          <w:b/>
          <w:bCs/>
          <w:color w:val="auto"/>
          <w:szCs w:val="21"/>
          <w:highlight w:val="none"/>
        </w:rPr>
      </w:pPr>
      <w:r>
        <w:rPr>
          <w:rFonts w:ascii="Arial" w:hAnsi="Arial" w:cs="Arial"/>
          <w:b/>
          <w:bCs/>
          <w:color w:val="auto"/>
          <w:kern w:val="0"/>
          <w:szCs w:val="21"/>
          <w:highlight w:val="none"/>
          <w:lang w:bidi="ar"/>
        </w:rPr>
        <w:t>1.</w:t>
      </w:r>
      <w:r>
        <w:rPr>
          <w:rFonts w:hint="eastAsia" w:ascii="Arial" w:hAnsi="Arial" w:cs="Arial"/>
          <w:b/>
          <w:bCs/>
          <w:color w:val="auto"/>
          <w:kern w:val="0"/>
          <w:szCs w:val="21"/>
          <w:highlight w:val="none"/>
          <w:lang w:bidi="ar"/>
        </w:rPr>
        <w:t>本项目</w:t>
      </w:r>
      <w:r>
        <w:rPr>
          <w:rFonts w:hint="eastAsia" w:ascii="Arial" w:hAnsi="Arial" w:cs="Arial"/>
          <w:b/>
          <w:bCs/>
          <w:color w:val="auto"/>
          <w:kern w:val="0"/>
          <w:szCs w:val="21"/>
          <w:highlight w:val="none"/>
          <w:lang w:val="en-US" w:eastAsia="zh-CN" w:bidi="ar"/>
        </w:rPr>
        <w:t>专</w:t>
      </w:r>
      <w:r>
        <w:rPr>
          <w:rFonts w:hint="eastAsia" w:ascii="Arial" w:hAnsi="Arial" w:cs="Arial"/>
          <w:b/>
          <w:bCs/>
          <w:color w:val="auto"/>
          <w:kern w:val="0"/>
          <w:szCs w:val="21"/>
          <w:highlight w:val="none"/>
          <w:u w:val="dotted"/>
          <w:lang w:val="en-US" w:eastAsia="zh-CN" w:bidi="ar"/>
        </w:rPr>
        <w:t>门</w:t>
      </w:r>
      <w:r>
        <w:rPr>
          <w:rFonts w:hint="eastAsia" w:ascii="Arial" w:hAnsi="Arial" w:cs="Arial"/>
          <w:b/>
          <w:bCs/>
          <w:color w:val="auto"/>
          <w:kern w:val="0"/>
          <w:szCs w:val="21"/>
          <w:highlight w:val="none"/>
          <w:lang w:bidi="ar"/>
        </w:rPr>
        <w:t>面向中小微企业采购，供应商为中小企业、监狱企业或残疾人福利性单位</w:t>
      </w:r>
      <w:r>
        <w:rPr>
          <w:rFonts w:ascii="Arial" w:hAnsi="Arial" w:cs="Arial"/>
          <w:b/>
          <w:bCs/>
          <w:color w:val="auto"/>
          <w:kern w:val="0"/>
          <w:szCs w:val="21"/>
          <w:highlight w:val="none"/>
          <w:lang w:bidi="ar"/>
        </w:rPr>
        <w:t>。</w:t>
      </w:r>
    </w:p>
    <w:p>
      <w:pPr>
        <w:widowControl/>
        <w:adjustRightInd w:val="0"/>
        <w:snapToGrid w:val="0"/>
        <w:spacing w:line="360" w:lineRule="auto"/>
        <w:ind w:firstLine="420" w:firstLineChars="200"/>
        <w:jc w:val="left"/>
        <w:rPr>
          <w:rFonts w:ascii="Arial" w:hAnsi="Arial" w:cs="Arial"/>
          <w:b/>
          <w:bCs/>
          <w:color w:val="auto"/>
          <w:kern w:val="0"/>
          <w:szCs w:val="21"/>
          <w:highlight w:val="none"/>
          <w:lang w:bidi="ar"/>
        </w:rPr>
      </w:pPr>
      <w:r>
        <w:rPr>
          <w:rFonts w:hint="eastAsia" w:ascii="Arial" w:hAnsi="Arial" w:cs="Arial"/>
          <w:color w:val="auto"/>
          <w:kern w:val="0"/>
          <w:szCs w:val="21"/>
          <w:highlight w:val="none"/>
          <w:lang w:bidi="ar"/>
        </w:rPr>
        <w:t>2</w:t>
      </w:r>
      <w:r>
        <w:rPr>
          <w:rFonts w:ascii="Arial" w:hAnsi="Arial" w:cs="Arial"/>
          <w:color w:val="auto"/>
          <w:kern w:val="0"/>
          <w:szCs w:val="21"/>
          <w:highlight w:val="none"/>
          <w:lang w:bidi="ar"/>
        </w:rPr>
        <w:t>.本项目所属行业：</w:t>
      </w:r>
      <w:r>
        <w:rPr>
          <w:rFonts w:ascii="Arial" w:hAnsi="Arial" w:cs="Arial"/>
          <w:b/>
          <w:bCs/>
          <w:color w:val="auto"/>
          <w:kern w:val="0"/>
          <w:szCs w:val="21"/>
          <w:highlight w:val="none"/>
          <w:lang w:bidi="ar"/>
        </w:rPr>
        <w:t>“其他未列明行业”</w:t>
      </w:r>
    </w:p>
    <w:p>
      <w:pPr>
        <w:widowControl/>
        <w:adjustRightInd w:val="0"/>
        <w:snapToGrid w:val="0"/>
        <w:spacing w:line="360" w:lineRule="auto"/>
        <w:ind w:firstLine="422" w:firstLineChars="200"/>
        <w:jc w:val="left"/>
        <w:rPr>
          <w:rFonts w:ascii="Arial" w:hAnsi="Arial" w:cs="Arial"/>
          <w:color w:val="auto"/>
          <w:szCs w:val="21"/>
          <w:highlight w:val="none"/>
        </w:rPr>
      </w:pPr>
      <w:r>
        <w:rPr>
          <w:rFonts w:hint="eastAsia" w:ascii="Arial" w:hAnsi="Arial" w:cs="Arial"/>
          <w:b/>
          <w:bCs/>
          <w:color w:val="auto"/>
          <w:kern w:val="0"/>
          <w:szCs w:val="21"/>
          <w:highlight w:val="none"/>
          <w:lang w:bidi="ar"/>
        </w:rPr>
        <w:t>3</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color w:val="auto"/>
          <w:kern w:val="0"/>
          <w:szCs w:val="21"/>
          <w:highlight w:val="none"/>
          <w:lang w:bidi="ar"/>
        </w:rPr>
        <w:t xml:space="preserve">。 </w:t>
      </w:r>
    </w:p>
    <w:p>
      <w:pPr>
        <w:pStyle w:val="96"/>
        <w:adjustRightInd w:val="0"/>
        <w:snapToGrid w:val="0"/>
        <w:spacing w:line="360" w:lineRule="auto"/>
        <w:rPr>
          <w:rFonts w:hint="eastAsia" w:ascii="Arial" w:hAnsi="Arial" w:cs="Arial"/>
          <w:b/>
          <w:bCs/>
          <w:color w:val="auto"/>
          <w:kern w:val="0"/>
          <w:highlight w:val="none"/>
          <w:lang w:bidi="ar"/>
        </w:rPr>
      </w:pPr>
    </w:p>
    <w:p>
      <w:pPr>
        <w:pStyle w:val="96"/>
        <w:adjustRightInd w:val="0"/>
        <w:snapToGrid w:val="0"/>
        <w:spacing w:line="360" w:lineRule="auto"/>
        <w:rPr>
          <w:rFonts w:hint="eastAsia" w:ascii="Arial" w:hAnsi="Arial" w:cs="Arial"/>
          <w:b/>
          <w:bCs/>
          <w:color w:val="auto"/>
          <w:kern w:val="0"/>
          <w:highlight w:val="none"/>
          <w:lang w:bidi="ar"/>
        </w:rPr>
      </w:pPr>
      <w:r>
        <w:rPr>
          <w:rFonts w:hint="eastAsia" w:ascii="Arial" w:hAnsi="Arial" w:cs="Arial"/>
          <w:b/>
          <w:bCs/>
          <w:color w:val="auto"/>
          <w:kern w:val="0"/>
          <w:highlight w:val="none"/>
          <w:lang w:bidi="ar"/>
        </w:rPr>
        <w:t>一、项目概况‌</w:t>
      </w:r>
    </w:p>
    <w:p>
      <w:pPr>
        <w:widowControl/>
        <w:tabs>
          <w:tab w:val="left" w:pos="1140"/>
        </w:tabs>
        <w:adjustRightInd w:val="0"/>
        <w:snapToGrid w:val="0"/>
        <w:spacing w:line="360" w:lineRule="auto"/>
        <w:ind w:firstLine="420" w:firstLineChars="200"/>
        <w:textAlignment w:val="baseline"/>
        <w:rPr>
          <w:rStyle w:val="68"/>
          <w:rFonts w:hint="eastAsia" w:ascii="Arial" w:hAnsi="Arial" w:eastAsia="宋体" w:cs="Arial"/>
          <w:color w:val="auto"/>
          <w:kern w:val="0"/>
          <w:szCs w:val="21"/>
          <w:highlight w:val="none"/>
          <w:lang w:eastAsia="zh-CN"/>
        </w:rPr>
      </w:pPr>
      <w:r>
        <w:rPr>
          <w:rStyle w:val="68"/>
          <w:rFonts w:hint="eastAsia" w:ascii="Arial" w:hAnsi="Arial" w:cs="Arial"/>
          <w:color w:val="auto"/>
          <w:kern w:val="0"/>
          <w:szCs w:val="21"/>
          <w:highlight w:val="none"/>
        </w:rPr>
        <w:t>‌项目名称‌：</w:t>
      </w:r>
      <w:r>
        <w:rPr>
          <w:rStyle w:val="68"/>
          <w:rFonts w:hint="eastAsia" w:ascii="Arial" w:hAnsi="Arial" w:cs="Arial"/>
          <w:color w:val="auto"/>
          <w:kern w:val="0"/>
          <w:szCs w:val="21"/>
          <w:highlight w:val="none"/>
          <w:lang w:eastAsia="zh-CN"/>
        </w:rPr>
        <w:t>兴安县人民医院整体搬迁项目（一期）医疗工艺设计咨询服务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建设单位：兴安县人民医院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‌项目地点‌：广西省桂林市兴安县兴安镇康宁街78号</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‌建设规模‌：建筑面积为59300㎡，设床位350张，包括建设1#门诊住院楼、4#污物暂存、地下室（含人防工程），道路场地硬化、停车场、绿化等室外配套工程及购置医疗设备一批。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建设内容包含土建工程、装饰装修工程、给排水工程、通风与空调工程，消防工程，电气工程、智能化工程、医疗专项工程、医疗IT 电源工程以及道路场地硬化、停车场、绿化等室外配套工程及购置医疗设备一批。</w:t>
      </w:r>
    </w:p>
    <w:p>
      <w:pPr>
        <w:pStyle w:val="96"/>
        <w:adjustRightInd w:val="0"/>
        <w:snapToGrid w:val="0"/>
        <w:spacing w:line="360" w:lineRule="auto"/>
        <w:rPr>
          <w:rStyle w:val="68"/>
          <w:rFonts w:hint="eastAsia" w:ascii="Arial" w:hAnsi="Arial" w:cs="Arial"/>
          <w:b/>
          <w:bCs/>
          <w:color w:val="auto"/>
          <w:kern w:val="0"/>
          <w:highlight w:val="none"/>
        </w:rPr>
      </w:pPr>
      <w:r>
        <w:rPr>
          <w:rFonts w:ascii="Arial" w:hAnsi="Arial" w:cs="Arial"/>
          <w:b/>
          <w:bCs/>
          <w:color w:val="auto"/>
          <w:kern w:val="0"/>
          <w:highlight w:val="none"/>
          <w:lang w:bidi="ar"/>
        </w:rPr>
        <w:t>二、</w:t>
      </w:r>
      <w:r>
        <w:rPr>
          <w:rStyle w:val="68"/>
          <w:rFonts w:ascii="Arial" w:hAnsi="Arial" w:cs="Arial"/>
          <w:b/>
          <w:bCs/>
          <w:color w:val="auto"/>
          <w:kern w:val="0"/>
          <w:highlight w:val="none"/>
        </w:rPr>
        <w:t>服务内容及要求</w:t>
      </w: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第一部分：医疗工艺规划阶段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（一）服务内容：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2.完成医院工艺流程设计参数；</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3.完成医院建设规模及标准；</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4.完成医疗分区面积计算；</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5.完成主要医疗设备需求分析。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（二）服务范围和要求：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1.项目发展定位研究：组织建设单位、使用单位结合行业发展趋势和配套政策，对项目发展定位、经营目标进行调研、讨论和论证，明确项目的发展目标；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2.项目市场环境分析：根据项目规划所处区位，分析未来经营服务范围和目标，对项目所承担行政职能、周边区域卫生资源、以及同类资源竞争进行分析；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3.项目学科建设分析：通过对项目使用单位目前各临床学科运营现状进行调研，与使用单位领导对未来临床业务规划研讨，完成重点学和常规发展学科规划目标及规模；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项目规模及分期建议：根据项目批复以及建设的要求，对原有的医疗功能进行梳理，对医院的医疗功能整体规划以及科室之间关系，面积进行合理化意见与设计。确定新建筑的医疗功能，整体医院的调整策略及腾挪等实施计划。</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准确表达项目的医疗规划要求，以及医院建设规模、设计标准、设计深度的要求。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（三）工作成果包含：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1.《医疗设置规划书》，需清晰表达量化各功能单元的功能分区、建筑面积、核心配置（含类型和数量）等。</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2.《主要医疗设备统计表》，支撑项目建设内容、建设规模下，医技学科、临床学科所需的大型医疗设备。 </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第二部分：医疗工艺方案设计阶段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医疗工艺方案设计包括医疗工艺一级流程设计和医疗工艺二级流程设计。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医疗工艺一级流程设计内容为医院各医疗功能单元之间的组团关系规划。医疗工艺二级流程设计内容为各医疗功能单元内部功能房间的组织关系与流程规划。</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（一）医疗工艺一级流程设计阶段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医疗工艺一级流程设计工作流程：</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根据前期规划已确认的规模指标完成各医疗功能单元在建筑内学科轮廓与位置的规划，形成平面与竖向交通的体系规划，协助建筑完成主要出入口、各类流线组织及院内交通组织的优化设计，匹配建筑平面总体规划，并与医院管理层进行完整方案的沟通确认，以保证设计方案与医院运营管理模式的最佳契合，打造真正属于本项目的安全、高效提升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1、协助采购人核对建筑方案与设计任务书的匹配度；</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（1）医院建筑方案中应体现对全院内各功能建筑体之间的分布规划，并确定院内各类型出入口（门诊出入口、急诊出入口、住院出入口、后勤出入口等）设置与人、车、物的院内交通组织规划流线；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（2）对建筑方案与设计任务书之间存在的偏差进行问题分析和梳理；</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（3）通过与采购人、建筑单位和建设单位的多方会议明确对建筑方案的评审意见；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（4）促进形成稳定的建筑方案（建筑外轮廓、柱网、标高和核心交通组织），以作为正式启动医疗工艺一级流程的基础条件。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2、医疗工艺一级流程功能单元组团分布；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（1）结合医院运营模式和重点学科发展方向，对医院建筑整体布局提出建议；</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（2）结合建筑形态，对各功能组团分布设置方案进行推演；</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（3）结合医疗工艺规划的成果，对项目医疗规划重要指标进行论证；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（4）结合设计规范、设计标准，对院感控制重点问题提出工艺流程策略。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3、医疗工艺一级流程设计内容；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（1）确定工艺总平面规划中各类型出入口与院内各项交通流线；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（2）结合前期确定的学科规模与定位，确定院内医疗功能各项板块在建筑内的规划方案；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（3）确定院内重点标准化功能板块（如：门诊、住院）对应的建筑形态方案。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（4）核定各功能单元轮廓线及面积指标。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（5）核定交通核心筒的电梯、扶梯、步梯的数量、位置及功能属性。</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（6）确定院内各类人流、物流等交通流线。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（7）清晰表达的各功能单元与公共区域之间的关系。</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（8）以上内容的最终表达形式为色块图并整合为汇报文件（咨询深度则为文字意见）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（二）医疗工艺二级流程设计阶段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1、医疗工艺二级流程科室调研与沟通</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（1）根据经过医院确认的一级流程成果文件，在各个功能单位的位置、面积和配置基本明确的前提下，对全院科室开展使用习惯及内部规划想法的调研与沟通。</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（2）向各个科室介绍全院整体规划及该科室的规划情况，在一级流程稳定的基础上，了解各个科室的需求，开展医疗工艺二级流程设计。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2、功能单元内部分区、动线组织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（1）根据医院感染控制对不同科室的管理要求，开展功能单元内部功能分区设计；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（2）根据科室医疗行为开展的实际需求，开展各类人流、物流的动线组织与交通组织研究。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3、功能单元内各类用房的关系统筹，面积与形态的设计；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（1）根据科室医疗行为开展的需求，进行该功能单元与科室内的各类型功能用房的数量确定、组织布局、排布关系的统筹设计；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（2）确定各功能单元内各类型房间的面积与形态，以满足科室医疗行为的开展需求。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4、医疗工艺二级流程设计内容；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（1）标示各功能单元范围及功能单元区域面积；</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（2）清晰表达功能单元内的动线。应包含医护动线、患者动线、洁净物品运输动线和污物运输动线；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（3）清晰表达功能单元内的房型功能布局；</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（4）应以各类隔墙分割各功能用房；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（5）应准确表达房间、通道间门窗类型；</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（6）应准确标注用房面积、尺寸及相关场地要求；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以上内容的最终表达形式为CAD双线图或汇报文件（咨询深度则为文字意见）。设计成果编制。梳理医疗工艺二级流程设计的相关内容，建立报告框架，将复杂的内容图纸化，保证所有的信息来源都有依有据，并且可以为下一步深化作为支撑。</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第三部分：医疗工艺条件设计阶段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（一）医疗工艺三级流程设计阶段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在医疗工艺二级流程的框架下，结合前期各功能单元的功能需求，通过对房间内部进行合理的设计，提高医务人员与患者的工作及就诊效率，提升患者就医体验与医务人员工作环境品质。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1、医疗工艺三级流程设计：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从设备数量往管理方式以医疗功能患者就医行为、医护人员医疗工作行为贯通医院的工艺流程的方案印证对医疗功能房间或特定区域内部，进行的家具、设备以及房间内用水点的数量及位置布置，在满足医护人员医疗操作性、专业与习惯性的同时，还要考虑到患者的体验感。</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2、医疗工艺三级流程设计内容：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（1）复核校验建筑提资图与工艺流程图纸流线是否满足使用；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（2）结合科室调研表以书面形式再次确认院方需求；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（3）核实二级流程的功能是否缺失、名称是否正确，尺寸和面积满足使用；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（4）布置家具、洁具及设备平面布置图；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（5）完成三级流程设计初稿后，再次通过科室交流稳定室内功能及医疗使用行为平面布置图；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（6）提交设计成果，并获得院方书面确认。</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 医疗工艺相关专业工艺条件：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针对医护和患者的行为使用要求，提供每个功能房间内部的机电点位要求、提供机电点位的安装位置与形式、提供空间的环境控制参数、提供房间的建筑、结构、装饰条件。最终成果满足给建筑初步设计、施工图和装修方案图提供前提条件的深度。</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4、医疗工艺相关专业工艺条件设计内容：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（1）复核校验医疗工艺三级流程图纸；</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（2）布置医疗功能房间平面点位图；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（3）在医疗专项单位技术配合下，布置其余各医疗专项 功能房间点位图；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（4）提交设计成果，与各科室进行线下交流、并获得院方书面确认；</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（5）对最新建筑进行合图，确保工艺图纸和建筑匹配；</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（6）完成最终工艺条件成果图纸和设计院各专业进行技术交底，确保工艺条件落实到施工图；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设计成果编制。梳理医疗工艺三级流程设计的相关内容，建立报告框架，将复杂的内容图纸化与表格化。</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第四部分：医疗工艺相关咨询服务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（一）医疗专项前期咨询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 医疗设备前期咨询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医疗设备配置标准及设备选型、技术规格、房间尺寸(含辅助用房)、设备所需水、电、空调等条件，在前期策划阶段形成《主要医疗设备统计表》，至少包含对面积有需求的设备；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医疗设备结构条件以图纸形式提资，用作建筑设计单位设计参考。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2.净化工程前期咨询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主要净化工程区域分布(手术室、中心供应、静配中心等)，融入医疗工艺一级流程布置图；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方案设计阶段：将净化区域深化到医疗工艺二级流程深度，供深化专项设计参考；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初步设计及施工图落阶段：辅助采购人基于医疗工艺流程对专项深化图纸进行审查。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3.物流系统前期咨询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前期策划阶段提供物流基本选型建议；</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配合建筑设计单位物流专项，审查物流需求、物流方案的合理性。</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4.其他对面积有需求的医疗专项（医用气体、实验室等）需要在方案阶段做到医疗工艺二级流程深度，供专项厂家参考。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（二）其他咨询服务内容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1.协助采购人完成医疗卫生流程专项审查；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2.对建筑设计各阶段（方案设计、初步设计、施工图设计）及各专业的设计进行医疗工艺专业配合，并提供咨询服务。</w:t>
      </w: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第五部分：成果交付时间</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医疗工艺规划阶段成果：合同签定后30个日历天。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医疗工艺一级流程：启动一级流程设计后20个日历天。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医疗工艺二级流程：一级流程确认后，启动二级流程设计后30个日历天。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医疗工艺三级流程：二级流程确认后，启动三级流程设计后30个日历天。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其他医疗工艺相关咨询，提供提资文件后7个日历天内提供咨询意见，项目施工图审批通过后，10个日历天，将整理所有咨询意见形成咨询报告</w:t>
      </w:r>
      <w:r>
        <w:rPr>
          <w:rStyle w:val="68"/>
          <w:rFonts w:ascii="Arial" w:hAnsi="Arial" w:cs="Arial"/>
          <w:color w:val="auto"/>
          <w:kern w:val="0"/>
          <w:szCs w:val="21"/>
          <w:highlight w:val="none"/>
        </w:rPr>
        <w:t>。</w:t>
      </w:r>
    </w:p>
    <w:p>
      <w:pPr>
        <w:widowControl/>
        <w:numPr>
          <w:ilvl w:val="0"/>
          <w:numId w:val="2"/>
        </w:numPr>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lang w:val="en-US" w:eastAsia="zh-CN"/>
        </w:rPr>
        <w:t>商务要求</w:t>
      </w:r>
    </w:p>
    <w:p>
      <w:pPr>
        <w:widowControl/>
        <w:numPr>
          <w:ilvl w:val="0"/>
          <w:numId w:val="0"/>
        </w:numPr>
        <w:tabs>
          <w:tab w:val="left" w:pos="1140"/>
        </w:tabs>
        <w:adjustRightInd w:val="0"/>
        <w:snapToGrid w:val="0"/>
        <w:spacing w:line="360" w:lineRule="auto"/>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lang w:val="en-US" w:eastAsia="zh-CN"/>
        </w:rPr>
        <w:t>1、</w:t>
      </w:r>
      <w:r>
        <w:rPr>
          <w:rStyle w:val="68"/>
          <w:rFonts w:hint="eastAsia" w:ascii="Arial" w:hAnsi="Arial" w:cs="Arial"/>
          <w:b/>
          <w:bCs/>
          <w:color w:val="auto"/>
          <w:kern w:val="0"/>
          <w:szCs w:val="21"/>
          <w:highlight w:val="none"/>
        </w:rPr>
        <w:t>付款方式：</w:t>
      </w:r>
    </w:p>
    <w:tbl>
      <w:tblPr>
        <w:tblStyle w:val="33"/>
        <w:tblW w:w="5146" w:type="pct"/>
        <w:tblInd w:w="0" w:type="dxa"/>
        <w:tblLayout w:type="autofit"/>
        <w:tblCellMar>
          <w:top w:w="0" w:type="dxa"/>
          <w:left w:w="45" w:type="dxa"/>
          <w:bottom w:w="0" w:type="dxa"/>
          <w:right w:w="45" w:type="dxa"/>
        </w:tblCellMar>
      </w:tblPr>
      <w:tblGrid>
        <w:gridCol w:w="1621"/>
        <w:gridCol w:w="1105"/>
        <w:gridCol w:w="6995"/>
      </w:tblGrid>
      <w:tr>
        <w:tblPrEx>
          <w:tblCellMar>
            <w:top w:w="0" w:type="dxa"/>
            <w:left w:w="45" w:type="dxa"/>
            <w:bottom w:w="0" w:type="dxa"/>
            <w:right w:w="45" w:type="dxa"/>
          </w:tblCellMar>
        </w:tblPrEx>
        <w:trPr>
          <w:trHeight w:val="2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首付款</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30%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本合同生效后十日内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第二次付费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成交供应商向采购人提交前期医疗规划阶段及一级《平面工艺流程布置图》成果后十日内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第三次付费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25%</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成交供应商向采购人提交二级《平面工艺流程布置图》后十日内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第四次付费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成交供应商向采购人提交三级《平面工艺流程布置图》后十日内</w:t>
            </w:r>
          </w:p>
        </w:tc>
      </w:tr>
      <w:tr>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第五次付费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5%</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default"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成交供应商完成所有设计咨询工作且项目经过施工图审查后十日内</w:t>
            </w:r>
          </w:p>
        </w:tc>
      </w:tr>
    </w:tbl>
    <w:p>
      <w:pPr>
        <w:widowControl/>
        <w:numPr>
          <w:ilvl w:val="0"/>
          <w:numId w:val="0"/>
        </w:numPr>
        <w:tabs>
          <w:tab w:val="left" w:pos="1140"/>
        </w:tabs>
        <w:adjustRightInd w:val="0"/>
        <w:snapToGrid w:val="0"/>
        <w:spacing w:line="360" w:lineRule="auto"/>
        <w:ind w:firstLine="0" w:firstLineChars="0"/>
        <w:textAlignment w:val="baseline"/>
        <w:rPr>
          <w:rStyle w:val="68"/>
          <w:rFonts w:ascii="Arial" w:hAnsi="Arial" w:cs="Arial"/>
          <w:b/>
          <w:bCs/>
          <w:color w:val="auto"/>
          <w:kern w:val="0"/>
          <w:szCs w:val="21"/>
          <w:highlight w:val="none"/>
        </w:rPr>
      </w:pPr>
    </w:p>
    <w:p>
      <w:pPr>
        <w:spacing w:line="288" w:lineRule="auto"/>
        <w:rPr>
          <w:rFonts w:ascii="Arial" w:hAnsi="Arial" w:cs="Arial"/>
          <w:b/>
          <w:bCs/>
          <w:color w:val="auto"/>
          <w:spacing w:val="8"/>
          <w:kern w:val="0"/>
          <w:szCs w:val="21"/>
          <w:highlight w:val="none"/>
        </w:rPr>
      </w:pPr>
      <w:r>
        <w:rPr>
          <w:rStyle w:val="68"/>
          <w:rFonts w:hint="eastAsia" w:ascii="Arial" w:hAnsi="Arial" w:eastAsia="宋体" w:cs="Arial"/>
          <w:b/>
          <w:bCs/>
          <w:color w:val="auto"/>
          <w:kern w:val="0"/>
          <w:szCs w:val="21"/>
          <w:highlight w:val="none"/>
          <w:lang w:val="en-US" w:eastAsia="zh-CN"/>
        </w:rPr>
        <w:t>2、成交供应商</w:t>
      </w:r>
      <w:r>
        <w:rPr>
          <w:rStyle w:val="68"/>
          <w:rFonts w:hint="eastAsia" w:ascii="Arial" w:hAnsi="Arial" w:eastAsia="宋体" w:cs="Arial"/>
          <w:b/>
          <w:bCs/>
          <w:color w:val="auto"/>
          <w:kern w:val="0"/>
          <w:szCs w:val="21"/>
          <w:highlight w:val="none"/>
        </w:rPr>
        <w:t>应向</w:t>
      </w:r>
      <w:r>
        <w:rPr>
          <w:rStyle w:val="68"/>
          <w:rFonts w:hint="eastAsia" w:ascii="Arial" w:hAnsi="Arial" w:eastAsia="宋体" w:cs="Arial"/>
          <w:b/>
          <w:bCs/>
          <w:color w:val="auto"/>
          <w:kern w:val="0"/>
          <w:szCs w:val="21"/>
          <w:highlight w:val="none"/>
          <w:lang w:val="en-US" w:eastAsia="zh-CN"/>
        </w:rPr>
        <w:t>采购人</w:t>
      </w:r>
      <w:r>
        <w:rPr>
          <w:rStyle w:val="68"/>
          <w:rFonts w:hint="eastAsia" w:ascii="Arial" w:hAnsi="Arial" w:eastAsia="宋体" w:cs="Arial"/>
          <w:b/>
          <w:bCs/>
          <w:color w:val="auto"/>
          <w:kern w:val="0"/>
          <w:szCs w:val="21"/>
          <w:highlight w:val="none"/>
        </w:rPr>
        <w:t>交付的设计资料及文件</w:t>
      </w:r>
      <w:r>
        <w:rPr>
          <w:rStyle w:val="68"/>
          <w:rFonts w:hint="eastAsia" w:ascii="Arial" w:hAnsi="Arial" w:eastAsia="宋体" w:cs="Arial"/>
          <w:b/>
          <w:bCs/>
          <w:color w:val="auto"/>
          <w:kern w:val="0"/>
          <w:szCs w:val="21"/>
          <w:highlight w:val="none"/>
          <w:lang w:eastAsia="zh-CN"/>
        </w:rPr>
        <w:t>：</w:t>
      </w:r>
      <w:r>
        <w:rPr>
          <w:rStyle w:val="68"/>
          <w:rFonts w:hint="eastAsia" w:ascii="Arial" w:hAnsi="Arial" w:eastAsia="宋体" w:cs="Arial"/>
          <w:b/>
          <w:bCs/>
          <w:color w:val="auto"/>
          <w:kern w:val="0"/>
          <w:szCs w:val="21"/>
          <w:highlight w:val="none"/>
          <w:lang w:val="en-US" w:eastAsia="zh-CN"/>
        </w:rPr>
        <w:t>详见</w:t>
      </w:r>
      <w:r>
        <w:rPr>
          <w:rStyle w:val="68"/>
          <w:rFonts w:hint="eastAsia" w:ascii="Arial" w:hAnsi="Arial" w:eastAsia="宋体" w:cs="Arial"/>
          <w:b/>
          <w:bCs/>
          <w:color w:val="auto"/>
          <w:kern w:val="0"/>
          <w:szCs w:val="21"/>
          <w:highlight w:val="none"/>
        </w:rPr>
        <w:t>合同文本</w:t>
      </w:r>
      <w:r>
        <w:rPr>
          <w:rStyle w:val="68"/>
          <w:rFonts w:hint="eastAsia" w:ascii="Arial" w:hAnsi="Arial" w:eastAsia="宋体" w:cs="Arial"/>
          <w:b/>
          <w:bCs/>
          <w:color w:val="auto"/>
          <w:kern w:val="0"/>
          <w:szCs w:val="21"/>
          <w:highlight w:val="none"/>
          <w:lang w:val="en-US" w:eastAsia="zh-CN"/>
        </w:rPr>
        <w:t>条款。</w:t>
      </w:r>
      <w:r>
        <w:rPr>
          <w:rFonts w:hint="eastAsia" w:ascii="仿宋_GB2312" w:hAnsi="仿宋_GB2312" w:eastAsia="仿宋_GB2312" w:cs="仿宋_GB2312"/>
          <w:color w:val="auto"/>
          <w:highlight w:val="none"/>
        </w:rPr>
        <w:br w:type="page"/>
      </w:r>
    </w:p>
    <w:p>
      <w:pPr>
        <w:pStyle w:val="3"/>
        <w:spacing w:line="288" w:lineRule="auto"/>
        <w:jc w:val="center"/>
        <w:rPr>
          <w:rFonts w:ascii="Arial" w:hAnsi="Arial" w:cs="Arial"/>
          <w:color w:val="auto"/>
          <w:highlight w:val="none"/>
        </w:rPr>
      </w:pPr>
      <w:bookmarkStart w:id="23" w:name="_Toc44229896"/>
      <w:bookmarkStart w:id="24" w:name="_Toc30328"/>
      <w:r>
        <w:rPr>
          <w:rFonts w:ascii="Arial" w:hAnsi="Arial" w:cs="Arial"/>
          <w:color w:val="auto"/>
          <w:highlight w:val="none"/>
        </w:rPr>
        <w:t>第四章</w:t>
      </w:r>
      <w:r>
        <w:rPr>
          <w:rFonts w:hint="eastAsia" w:ascii="Arial" w:hAnsi="Arial" w:cs="Arial"/>
          <w:color w:val="auto"/>
          <w:highlight w:val="none"/>
        </w:rPr>
        <w:t xml:space="preserve">  </w:t>
      </w:r>
      <w:r>
        <w:rPr>
          <w:rFonts w:ascii="Arial" w:hAnsi="Arial" w:cs="Arial"/>
          <w:color w:val="auto"/>
          <w:highlight w:val="none"/>
        </w:rPr>
        <w:t>评审程序、评审方法和评审标准</w:t>
      </w:r>
      <w:bookmarkEnd w:id="23"/>
      <w:bookmarkEnd w:id="24"/>
    </w:p>
    <w:p>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一、评审程序和评审方法</w:t>
      </w:r>
    </w:p>
    <w:p>
      <w:pPr>
        <w:snapToGrid w:val="0"/>
        <w:spacing w:line="288" w:lineRule="auto"/>
        <w:ind w:firstLine="422" w:firstLineChars="200"/>
        <w:rPr>
          <w:rFonts w:ascii="Arial" w:hAnsi="Arial" w:cs="Arial"/>
          <w:color w:val="auto"/>
          <w:szCs w:val="21"/>
          <w:highlight w:val="none"/>
        </w:rPr>
      </w:pPr>
      <w:r>
        <w:rPr>
          <w:rFonts w:ascii="Arial" w:hAnsi="Arial" w:cs="Arial"/>
          <w:b/>
          <w:bCs/>
          <w:color w:val="auto"/>
          <w:szCs w:val="21"/>
          <w:highlight w:val="none"/>
        </w:rPr>
        <w:t>说明：磋商小组如发现供应商提供的证明文件不齐全或不符合规定格式的，应当在“政采云”平台中一次性告知供应商，供应商应当在“政采云”平台按规定的时间内补正或更正；补正或更正的材料应当采用书面形式，并由其法定代表人或负责人或授权委托代表签字（或个人 CA 证书签章）或加盖供应商CA 证书签章（自然人为签字或加盖个人 CA 证书签章）。对未通过资格性审查或符合性审查的供应商，由磋商小组应当以电话或通过“政采云”平台告知供应商未通过的原因并做相应记录。</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1.资格审查</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1.1响应文件开启后，磋商小组依法对供应商的资格证明文件进行审查。</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截标后，磋商小组通过电子交易平台对供应商的资格进行审查。资格审查是根据法律法规和采购文件的规定，对供应商的基本资格条件、特定资格条件进行审查。</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资格审查标准在第四章评审方法及标准中规定，符合资格审查标准要求的供应商即为资格审查合格。</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供应商有下列情形之一的，资格审查不合格，作无效响应处理：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（1）不具备采购文件中规定的资格要求或资格条件的； （注：广西政府采购云平台已与“信用中国”平台做接口，可直接在线查询）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（2）响应文件缺少任何一项资格证明文件或不符合第四章评审方法及标准中资格审查标准规定的评审内容的。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（3）资格审查标准为本磋商文件中载明对供应商资格要求的条件。资格审查采用合格制，凡符合磋商文件规定的供应商资格要求的响应文件均通过资格审查。</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1.3供应商有下列情形之一的，资格审查不通过，其响应文件按无效响应处理：</w:t>
      </w:r>
    </w:p>
    <w:p>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（1）不具备磋商文件中规定的资格要求的；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（2）响应文件未提供任一项“供应商须知前附表”资格证明文件规定的“必须提供”的文件资料的；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（3）响应文件提供的资格证明文件出现任一项不符合“供应商须知前附表”资格证明文件规定的“必须提供”的文件资料要求或者无效的。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1.4磋商小组在对供应商进行资格性审查时，将对供应商企业股东及出资等信息进行查询。根据 </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《中华人民共和国政府采购法实施条例 》第十八条第一款规定，审查中如发现供应商存在单位负责人为同一人或者存在直接控股、管理关系的不同供应商参加同一合同项下的政府采购活动的，按响应文件无效处理 。 </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1.4.1 查询渠道：《国家企业信用信息公示系统》（网址：www.gsxt.gov.cn/index.html）；</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1.4.2 审查流程：</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（1）进入《国家企业信用信息公示系统》（网址：http://www.gsxt.gov.cn/index.html），输入</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企业名称，进入企业信息主页面。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（2）查看主页 “股东及出资信息”栏，或年报中的“股东及出资信息”栏信息。</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（3）将各供应商的股东及出资信息进行比对，如发现存在单位负责人为同一人或者存在直接控股、</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管理关系的不同供应商参加同一合同项下的政府采购活动，按无效处理。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（4）将相关资料打印存档。</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注：以上审查过程中，如出现查询企业网页主页面无法显示股东及出资信息的或仅以主页面信息内</w:t>
      </w:r>
    </w:p>
    <w:p>
      <w:pPr>
        <w:spacing w:line="288" w:lineRule="auto"/>
        <w:rPr>
          <w:rFonts w:ascii="Arial" w:hAnsi="Arial" w:cs="Arial"/>
          <w:color w:val="auto"/>
          <w:szCs w:val="21"/>
          <w:highlight w:val="none"/>
        </w:rPr>
      </w:pPr>
      <w:r>
        <w:rPr>
          <w:rFonts w:ascii="Arial" w:hAnsi="Arial" w:cs="Arial"/>
          <w:color w:val="auto"/>
          <w:szCs w:val="21"/>
          <w:highlight w:val="none"/>
        </w:rPr>
        <w:t>容无法认定供应商之间存在单位负责人为同一人或者存在直接控股、管理关系的，当时审查程序可继续</w:t>
      </w:r>
    </w:p>
    <w:p>
      <w:pPr>
        <w:spacing w:line="288" w:lineRule="auto"/>
        <w:rPr>
          <w:rFonts w:ascii="Arial" w:hAnsi="Arial" w:cs="Arial"/>
          <w:color w:val="auto"/>
          <w:szCs w:val="21"/>
          <w:highlight w:val="none"/>
        </w:rPr>
      </w:pPr>
      <w:r>
        <w:rPr>
          <w:rFonts w:ascii="Arial" w:hAnsi="Arial" w:cs="Arial"/>
          <w:color w:val="auto"/>
          <w:szCs w:val="21"/>
          <w:highlight w:val="none"/>
        </w:rPr>
        <w:t>进行，待评审结束后将对以上供应商作进一步核实确认，如确认供应商之间存在有上述关联供应商情形</w:t>
      </w:r>
    </w:p>
    <w:p>
      <w:pPr>
        <w:spacing w:line="288" w:lineRule="auto"/>
        <w:rPr>
          <w:rFonts w:ascii="Arial" w:hAnsi="Arial" w:cs="Arial"/>
          <w:color w:val="auto"/>
          <w:szCs w:val="21"/>
          <w:highlight w:val="none"/>
        </w:rPr>
      </w:pPr>
      <w:r>
        <w:rPr>
          <w:rFonts w:ascii="Arial" w:hAnsi="Arial" w:cs="Arial"/>
          <w:color w:val="auto"/>
          <w:szCs w:val="21"/>
          <w:highlight w:val="none"/>
        </w:rPr>
        <w:t>的，关联供应商均按响应无效处理。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1.5通过资格审查的合格供应商不足3家的，不得进入符合性审查环节，采购人或者采购代理机构应当重新开展采购活动。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2.符合性审查</w:t>
      </w:r>
    </w:p>
    <w:p>
      <w:pPr>
        <w:spacing w:line="288" w:lineRule="auto"/>
        <w:ind w:firstLine="420" w:firstLineChars="200"/>
        <w:rPr>
          <w:rFonts w:ascii="Arial" w:hAnsi="Arial" w:cs="Arial"/>
          <w:color w:val="auto"/>
          <w:szCs w:val="21"/>
          <w:highlight w:val="none"/>
        </w:rPr>
      </w:pPr>
      <w:bookmarkStart w:id="25" w:name="_Hlk42528882"/>
      <w:r>
        <w:rPr>
          <w:rFonts w:ascii="Arial" w:hAnsi="Arial" w:cs="Arial"/>
          <w:color w:val="auto"/>
          <w:szCs w:val="21"/>
          <w:highlight w:val="none"/>
        </w:rPr>
        <w:t>2.1由磋商小组对通过资格审查的合格供应商的响应文件的响应报价、商务、技术等实质性要求进行符合性审查，以确定其是否满足磋商文件的实质性要求。</w:t>
      </w:r>
    </w:p>
    <w:bookmarkEnd w:id="25"/>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88" w:lineRule="auto"/>
        <w:ind w:firstLine="420" w:firstLineChars="200"/>
        <w:rPr>
          <w:rFonts w:ascii="Arial" w:hAnsi="Arial" w:cs="Arial"/>
          <w:color w:val="auto"/>
          <w:spacing w:val="-6"/>
          <w:szCs w:val="21"/>
          <w:highlight w:val="none"/>
        </w:rPr>
      </w:pPr>
      <w:r>
        <w:rPr>
          <w:rFonts w:ascii="Arial" w:hAnsi="Arial" w:cs="Arial"/>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ascii="Arial" w:hAnsi="Arial" w:cs="Arial"/>
          <w:bCs/>
          <w:color w:val="auto"/>
          <w:szCs w:val="21"/>
          <w:highlight w:val="none"/>
        </w:rPr>
        <w:t>若委托代理人不是响应文件中授权的委托代理人时，必须同时出示有效的法定代表人授权委托书原件</w:t>
      </w:r>
      <w:r>
        <w:rPr>
          <w:rFonts w:ascii="Arial" w:hAnsi="Arial" w:cs="Arial"/>
          <w:color w:val="auto"/>
          <w:spacing w:val="-6"/>
          <w:szCs w:val="21"/>
          <w:highlight w:val="none"/>
        </w:rPr>
        <w:t>。供应商为自然人的，必须由本人签字并附身份证明。</w:t>
      </w:r>
    </w:p>
    <w:p>
      <w:pPr>
        <w:spacing w:line="288" w:lineRule="auto"/>
        <w:ind w:firstLine="396" w:firstLineChars="200"/>
        <w:rPr>
          <w:rFonts w:ascii="Arial" w:hAnsi="Arial" w:cs="Arial"/>
          <w:color w:val="auto"/>
          <w:szCs w:val="21"/>
          <w:highlight w:val="none"/>
        </w:rPr>
      </w:pPr>
      <w:r>
        <w:rPr>
          <w:rFonts w:ascii="Arial" w:hAnsi="Arial" w:cs="Arial"/>
          <w:color w:val="auto"/>
          <w:spacing w:val="-6"/>
          <w:szCs w:val="21"/>
          <w:highlight w:val="none"/>
        </w:rPr>
        <w:t>2.4</w:t>
      </w:r>
      <w:r>
        <w:rPr>
          <w:rFonts w:ascii="Arial" w:hAnsi="Arial" w:cs="Arial"/>
          <w:color w:val="auto"/>
          <w:szCs w:val="21"/>
          <w:highlight w:val="none"/>
        </w:rPr>
        <w:t>首次响应文件报价出现前后不一致的，按照下列规定修正：</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（1）响应文件中报价表内容与响应文件中相应内容不一致的，以报价表为准；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（3）单价金额小数点或者百分比有明显错位的，以报价表的总价为准，并修改单价；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2.5商务技术报价评审</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在评审时，如发现下列情形之一的，将被视为响应文件无效处理：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（1）商务技术评审</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1）响应文件未按磋商文件要求签署、盖章；</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2）委托代理人未能出具有效身份证明或者出具的身份证明与授权委托书中的信息不符；</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4）</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b/>
          <w:bCs/>
          <w:color w:val="auto"/>
          <w:szCs w:val="21"/>
          <w:highlight w:val="none"/>
        </w:rPr>
        <w:t>；</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5）未对响应有效期作出响应或者响应文件承诺的响应有效期不满足磋商文件要求；</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6）响应文件的实质性内容未使用中文表述、使用计量单位不符合磋商文件要求；</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7）响应文件中的文件资料因填写不齐全或者内容虚假或者出现其他情形而导致被磋商小组认定无效；</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8）响应文件含有采购人不能接受的附加条件；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9）属于“供应商须知正文”第7.5条情形；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10）明显不满足磋商文件要求的技术规格、安全、质量标准，或者与磋商文件中标明实质性的要求发生负偏离；</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12）虚假竞标，或者出现其他情形而导致被磋商小组认定无效；</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13）竞标技术方案不明确，磋商文件未允许但响应文件中存在一个或者一个以上备选（替代）竞标方案；</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14）未响应磋商文件实质性要求；</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15）法律、法规和磋商文件规定的其他无效情形。</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（2）报价评审</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响应文件未提供“供应商须知前附表”报价商务技术文件中规定的“响应报价表”；</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2）未采用人民币报价或者未按照磋商文件标明的币种报价；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4）响应报价（包含首次报价、最后报价）超过所竞标分标规定的采购预算金额或者最高限价的（如本项目公布了最高限价）；</w:t>
      </w:r>
      <w:bookmarkStart w:id="26" w:name="_Hlk42596405"/>
      <w:r>
        <w:rPr>
          <w:rFonts w:ascii="Arial" w:hAnsi="Arial" w:cs="Arial"/>
          <w:color w:val="auto"/>
          <w:szCs w:val="21"/>
          <w:highlight w:val="none"/>
        </w:rPr>
        <w:t>响应报价（包含首次报价、最后报价）</w:t>
      </w:r>
      <w:bookmarkEnd w:id="26"/>
      <w:bookmarkStart w:id="27" w:name="_Hlk42596276"/>
      <w:r>
        <w:rPr>
          <w:rFonts w:ascii="Arial" w:hAnsi="Arial" w:cs="Arial"/>
          <w:color w:val="auto"/>
          <w:szCs w:val="21"/>
          <w:highlight w:val="none"/>
        </w:rPr>
        <w:t>超过磋商文件分项采购预算金额或者最高限价的</w:t>
      </w:r>
      <w:bookmarkEnd w:id="27"/>
      <w:r>
        <w:rPr>
          <w:rFonts w:ascii="Arial" w:hAnsi="Arial" w:cs="Arial"/>
          <w:color w:val="auto"/>
          <w:szCs w:val="21"/>
          <w:highlight w:val="none"/>
        </w:rPr>
        <w:t>（如本项目公布了最高限价）；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2.7通过符合性审查的合格供应商不足3家的，不得进入磋商环节，采购人或者采购代理机构应当重新开展采购活动。</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3.磋商</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3.磋商的程序</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3.1磋商小组按照“供应商须知前附表”确定的顺序，集中与单一供应商分别进行磋商，并给予所有参加磋商的供应商平等的磋商机会。符合磋商资格的供应商必须在接到磋商通知后及时登陆广西政府采购云平台等候在线磋商，未在规定时间内参加磋商的视同放弃参加磋商权利，其响应文件按无效响应处理。</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3.3对磋商文件作出的实质性变动是磋商文件的有效组成部分，由磋商小组及时以书面形式（广西政府采购云平台流程）同时通知所有参加磋商的供应商。</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3.4供应商必须按照磋商文件的变动情况和磋商小组的要求重新提交响应文件，并由其法定代表人或相应的授权委托代表签字（个人CA签章)或者加盖供应商公章(CA签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w:t>
      </w:r>
      <w:bookmarkStart w:id="28" w:name="_Hlk55814495"/>
      <w:r>
        <w:rPr>
          <w:rFonts w:ascii="Arial" w:hAnsi="Arial" w:cs="Arial"/>
          <w:color w:val="auto"/>
          <w:kern w:val="0"/>
          <w:szCs w:val="21"/>
          <w:highlight w:val="none"/>
        </w:rPr>
        <w:t>退出磋商</w:t>
      </w:r>
      <w:bookmarkEnd w:id="28"/>
      <w:r>
        <w:rPr>
          <w:rFonts w:ascii="Arial" w:hAnsi="Arial" w:cs="Arial"/>
          <w:color w:val="auto"/>
          <w:kern w:val="0"/>
          <w:szCs w:val="21"/>
          <w:highlight w:val="none"/>
        </w:rPr>
        <w:t>，其响应文件作无效处理。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3.5磋商中，</w:t>
      </w:r>
      <w:r>
        <w:rPr>
          <w:rFonts w:ascii="Arial" w:hAnsi="Arial" w:cs="Arial"/>
          <w:color w:val="auto"/>
          <w:spacing w:val="-6"/>
          <w:szCs w:val="21"/>
          <w:highlight w:val="none"/>
        </w:rPr>
        <w:t>磋商的任何一方不得透露与磋商有关的其他供应商的技术资料、价格和其他信息。</w:t>
      </w:r>
    </w:p>
    <w:p>
      <w:pPr>
        <w:widowControl/>
        <w:tabs>
          <w:tab w:val="left" w:pos="540"/>
        </w:tabs>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3.6磋商过程中重新提交的响应文件，供应商可以在开启前补充、修改。</w:t>
      </w:r>
    </w:p>
    <w:p>
      <w:pPr>
        <w:widowControl/>
        <w:tabs>
          <w:tab w:val="left" w:pos="540"/>
        </w:tabs>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3.8对磋商过程提交的响应文件进行有效性、完整性和响应程度审查，通过审查的合格供应商不足3家的，除本章第3.7条的情形外，采购人或者采购代理机构应当重新开展采购活动。</w:t>
      </w:r>
    </w:p>
    <w:p>
      <w:pPr>
        <w:spacing w:line="288" w:lineRule="auto"/>
        <w:ind w:firstLine="482" w:firstLineChars="200"/>
        <w:rPr>
          <w:rFonts w:ascii="Arial" w:hAnsi="Arial" w:cs="Arial"/>
          <w:color w:val="auto"/>
          <w:szCs w:val="21"/>
          <w:highlight w:val="none"/>
        </w:rPr>
      </w:pPr>
      <w:r>
        <w:rPr>
          <w:rFonts w:ascii="Arial" w:hAnsi="Arial" w:cs="Arial"/>
          <w:b/>
          <w:bCs/>
          <w:color w:val="auto"/>
          <w:sz w:val="24"/>
          <w:highlight w:val="none"/>
        </w:rPr>
        <w:t>4.最后报价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pPr>
        <w:spacing w:line="288" w:lineRule="auto"/>
        <w:ind w:firstLine="420" w:firstLineChars="200"/>
        <w:rPr>
          <w:rFonts w:ascii="Arial" w:hAnsi="Arial" w:cs="Arial"/>
          <w:b/>
          <w:bCs/>
          <w:color w:val="auto"/>
          <w:szCs w:val="21"/>
          <w:highlight w:val="none"/>
        </w:rPr>
      </w:pPr>
      <w:r>
        <w:rPr>
          <w:rFonts w:ascii="Arial" w:hAnsi="Arial" w:cs="Arial"/>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中提交最后报价</w:t>
      </w:r>
      <w:r>
        <w:rPr>
          <w:rFonts w:ascii="Arial" w:hAnsi="Arial" w:cs="Arial"/>
          <w:b/>
          <w:bCs/>
          <w:color w:val="auto"/>
          <w:szCs w:val="21"/>
          <w:highlight w:val="none"/>
        </w:rPr>
        <w:t>。</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4.4已经提交响应文件的供应商，在提交最后报价之前，可以根据磋商情况退出磋商，退出磋商的供应商的响应文件按无效响应处理。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4.5供应商未在规定时间内提交最后报价的，视为退出磋商，其响应文件作无效处理。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4.6磋商小组最后报价后在系统统一开启，磋商小组对最后报价进行有效性、完整性和响应程度的审查。</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4.7响应文件最后报价出现前后不一致的，按照本章第2.4条的规定修正。</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4.8修正后的报价出现下列情形的，按无效响应处理：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（1）供应商不确认的；</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（2）经供应商确认修正后的响应报价（包含首次报价、最后报价）超过所竞标分标规定的采购预算金额或者最高限价的（如本项目公布了最高限价）；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（3）经供应商确认修正后的响应报价（包含首次报价、最后报价）超过分项采购预算金额或者最高限价的（如本项目公布了最高限价）。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4.9经供应商确认修正后的最后报价作为评审及签订合同的依据。</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4.10最后报价结束后，磋商小组不得再与供应商进行任何形式的商谈。</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5.比较与评价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5.1评审方法：综合评分法。</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5.2经磋商确定最终采购需求和提交最后报价的供应商后，由磋商小组采用综合评分法对提交最后报价的供应商的响应文件和最后报价进行综合评分。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5.3评审时，磋商小组各成员应当独立对每个有效响应的文件进行评价、打分，然后汇总每个供应商每项评分因素的得分。</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（1）磋商小组按照磋商文件中规定的评审标准计算各供应商的报价得分。项目评审过程中，不得去掉最后报价中的最高报价和最低报价。</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（2）各供应商的得分为磋商小组所有成员的有效评分的算术平均数。</w:t>
      </w:r>
    </w:p>
    <w:p>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5.4最终成交供应商的成交金额等于最后报价（如有修正，以确认修正后的最后报价为准）。</w:t>
      </w:r>
    </w:p>
    <w:p>
      <w:pPr>
        <w:spacing w:line="288" w:lineRule="auto"/>
        <w:ind w:firstLine="420" w:firstLineChars="200"/>
        <w:rPr>
          <w:rFonts w:ascii="Arial" w:hAnsi="Arial" w:cs="Arial"/>
          <w:color w:val="auto"/>
          <w:kern w:val="0"/>
          <w:szCs w:val="21"/>
          <w:highlight w:val="none"/>
        </w:rPr>
      </w:pPr>
      <w:r>
        <w:rPr>
          <w:rFonts w:ascii="Arial" w:hAnsi="Arial" w:cs="Arial"/>
          <w:color w:val="auto"/>
          <w:szCs w:val="21"/>
          <w:highlight w:val="none"/>
        </w:rPr>
        <w:t>5.5由磋商小组根据综合评分情况，按照评审得分由高到低顺序推荐3名以上成交候选供应商，并编写评</w:t>
      </w:r>
      <w:r>
        <w:rPr>
          <w:rFonts w:ascii="Arial" w:hAnsi="Arial" w:cs="Arial"/>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特别说明：如遇“广西政府采购云平台”电子化磋商或评审程序调整的，按调整后程序执行。</w:t>
      </w:r>
    </w:p>
    <w:p>
      <w:pPr>
        <w:pStyle w:val="92"/>
        <w:spacing w:line="288" w:lineRule="auto"/>
        <w:rPr>
          <w:rFonts w:ascii="Arial" w:hAnsi="Arial" w:cs="Arial"/>
          <w:color w:val="auto"/>
          <w:highlight w:val="none"/>
        </w:rPr>
      </w:pPr>
    </w:p>
    <w:p>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二、评审标准</w:t>
      </w:r>
    </w:p>
    <w:p>
      <w:pPr>
        <w:spacing w:line="288" w:lineRule="auto"/>
        <w:ind w:firstLine="420" w:firstLineChars="200"/>
        <w:rPr>
          <w:rFonts w:ascii="Arial" w:hAnsi="Arial" w:cs="Arial"/>
          <w:bCs/>
          <w:color w:val="auto"/>
          <w:szCs w:val="21"/>
          <w:highlight w:val="none"/>
        </w:rPr>
      </w:pPr>
      <w:r>
        <w:rPr>
          <w:rFonts w:ascii="Arial" w:hAnsi="Arial" w:cs="Arial"/>
          <w:bCs/>
          <w:color w:val="auto"/>
          <w:szCs w:val="21"/>
          <w:highlight w:val="none"/>
        </w:rPr>
        <w:t>6.评审依据：磋商小组将以磋商响应文件为评审依据，</w:t>
      </w:r>
      <w:r>
        <w:rPr>
          <w:rFonts w:ascii="Arial" w:hAnsi="Arial" w:cs="Arial"/>
          <w:bCs/>
          <w:color w:val="auto"/>
          <w:highlight w:val="none"/>
        </w:rPr>
        <w:t>采用综合评分法。</w:t>
      </w:r>
      <w:r>
        <w:rPr>
          <w:rFonts w:ascii="Arial" w:hAnsi="Arial" w:cs="Arial"/>
          <w:bCs/>
          <w:color w:val="auto"/>
          <w:szCs w:val="21"/>
          <w:highlight w:val="none"/>
        </w:rPr>
        <w:t>内容按百分制打分。（计分方法按四舍五入取至百分位）</w:t>
      </w:r>
    </w:p>
    <w:tbl>
      <w:tblPr>
        <w:tblStyle w:val="3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03"/>
        <w:gridCol w:w="765"/>
        <w:gridCol w:w="1423"/>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003" w:type="dxa"/>
            <w:noWrap w:val="0"/>
            <w:vAlign w:val="center"/>
          </w:tcPr>
          <w:p>
            <w:pPr>
              <w:adjustRightInd w:val="0"/>
              <w:jc w:val="center"/>
              <w:textAlignment w:val="baseline"/>
              <w:rPr>
                <w:rFonts w:hint="default" w:ascii="Arial" w:hAnsi="Arial" w:eastAsia="宋体" w:cs="Arial"/>
                <w:color w:val="auto"/>
                <w:szCs w:val="21"/>
                <w:highlight w:val="none"/>
              </w:rPr>
            </w:pPr>
            <w:r>
              <w:rPr>
                <w:rFonts w:hint="default" w:ascii="Arial" w:hAnsi="Arial" w:eastAsia="宋体" w:cs="Arial"/>
                <w:b/>
                <w:color w:val="auto"/>
                <w:szCs w:val="21"/>
                <w:highlight w:val="none"/>
              </w:rPr>
              <w:t>评审因素</w:t>
            </w:r>
          </w:p>
        </w:tc>
        <w:tc>
          <w:tcPr>
            <w:tcW w:w="765" w:type="dxa"/>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7365" w:type="dxa"/>
            <w:gridSpan w:val="2"/>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003" w:type="dxa"/>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报价分</w:t>
            </w:r>
          </w:p>
        </w:tc>
        <w:tc>
          <w:tcPr>
            <w:tcW w:w="765" w:type="dxa"/>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10分</w:t>
            </w:r>
          </w:p>
        </w:tc>
        <w:tc>
          <w:tcPr>
            <w:tcW w:w="7365" w:type="dxa"/>
            <w:gridSpan w:val="2"/>
            <w:noWrap w:val="0"/>
            <w:vAlign w:val="center"/>
          </w:tcPr>
          <w:p>
            <w:pPr>
              <w:pStyle w:val="21"/>
              <w:rPr>
                <w:rFonts w:hint="default" w:ascii="Arial" w:hAnsi="Arial" w:eastAsia="宋体" w:cs="Arial"/>
                <w:b/>
                <w:color w:val="auto"/>
                <w:kern w:val="2"/>
                <w:sz w:val="21"/>
                <w:highlight w:val="none"/>
              </w:rPr>
            </w:pPr>
            <w:r>
              <w:rPr>
                <w:rFonts w:hint="default" w:ascii="Arial" w:hAnsi="Arial" w:eastAsia="宋体" w:cs="Arial"/>
                <w:b/>
                <w:color w:val="auto"/>
                <w:kern w:val="2"/>
                <w:sz w:val="21"/>
                <w:highlight w:val="none"/>
              </w:rPr>
              <w:t>（1）本项目为专门面向中小微企业采购项目。</w:t>
            </w:r>
          </w:p>
          <w:p>
            <w:pPr>
              <w:pStyle w:val="21"/>
              <w:rPr>
                <w:rFonts w:hint="default" w:ascii="Arial" w:hAnsi="Arial" w:eastAsia="宋体" w:cs="Arial"/>
                <w:bCs/>
                <w:color w:val="auto"/>
                <w:kern w:val="2"/>
                <w:sz w:val="21"/>
                <w:highlight w:val="none"/>
              </w:rPr>
            </w:pPr>
            <w:r>
              <w:rPr>
                <w:rFonts w:hint="default" w:ascii="Arial" w:hAnsi="Arial" w:eastAsia="宋体" w:cs="Arial"/>
                <w:bCs/>
                <w:color w:val="auto"/>
                <w:kern w:val="2"/>
                <w:sz w:val="21"/>
                <w:highlight w:val="none"/>
              </w:rPr>
              <w:t>（2）以进入综合评分环节的最低的评审报价为基准价，基准价报价得分为10分。</w:t>
            </w:r>
          </w:p>
          <w:p>
            <w:pPr>
              <w:pStyle w:val="21"/>
              <w:rPr>
                <w:rFonts w:hint="default" w:ascii="Arial" w:hAnsi="Arial" w:eastAsia="宋体" w:cs="Arial"/>
                <w:bCs/>
                <w:color w:val="auto"/>
                <w:kern w:val="2"/>
                <w:sz w:val="21"/>
                <w:highlight w:val="none"/>
              </w:rPr>
            </w:pPr>
            <w:r>
              <w:rPr>
                <w:rFonts w:hint="default" w:ascii="Arial" w:hAnsi="Arial" w:eastAsia="宋体" w:cs="Arial"/>
                <w:bCs/>
                <w:color w:val="auto"/>
                <w:kern w:val="2"/>
                <w:sz w:val="21"/>
                <w:highlight w:val="none"/>
              </w:rPr>
              <w:t>（3）供应商磋商报价得分=（磋商基准价/供应商的评审报价）×10分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571"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2</w:t>
            </w:r>
          </w:p>
        </w:tc>
        <w:tc>
          <w:tcPr>
            <w:tcW w:w="1003"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技术分</w:t>
            </w:r>
          </w:p>
        </w:tc>
        <w:tc>
          <w:tcPr>
            <w:tcW w:w="765"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lang w:eastAsia="zh-CN"/>
              </w:rPr>
              <w:t>5</w:t>
            </w:r>
            <w:r>
              <w:rPr>
                <w:rFonts w:hint="default" w:ascii="Arial" w:hAnsi="Arial" w:eastAsia="宋体" w:cs="Arial"/>
                <w:b/>
                <w:color w:val="auto"/>
                <w:szCs w:val="21"/>
                <w:highlight w:val="none"/>
                <w:lang w:val="en-US" w:eastAsia="zh-CN"/>
              </w:rPr>
              <w:t>0</w:t>
            </w:r>
            <w:r>
              <w:rPr>
                <w:rFonts w:hint="default" w:ascii="Arial" w:hAnsi="Arial" w:eastAsia="宋体" w:cs="Arial"/>
                <w:b/>
                <w:color w:val="auto"/>
                <w:szCs w:val="21"/>
                <w:highlight w:val="none"/>
              </w:rPr>
              <w:t>分</w:t>
            </w:r>
          </w:p>
        </w:tc>
        <w:tc>
          <w:tcPr>
            <w:tcW w:w="1423" w:type="dxa"/>
            <w:noWrap w:val="0"/>
            <w:vAlign w:val="center"/>
          </w:tcPr>
          <w:p>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w:t>
            </w:r>
            <w:r>
              <w:rPr>
                <w:rFonts w:hint="default" w:ascii="Arial" w:hAnsi="Arial" w:eastAsia="宋体" w:cs="Arial"/>
                <w:color w:val="auto"/>
                <w:sz w:val="21"/>
                <w:szCs w:val="21"/>
                <w:highlight w:val="none"/>
                <w:lang w:eastAsia="zh-CN"/>
              </w:rPr>
              <w:t>1</w:t>
            </w:r>
            <w:r>
              <w:rPr>
                <w:rFonts w:hint="default" w:ascii="Arial" w:hAnsi="Arial" w:eastAsia="宋体" w:cs="Arial"/>
                <w:color w:val="auto"/>
                <w:sz w:val="21"/>
                <w:szCs w:val="21"/>
                <w:highlight w:val="none"/>
              </w:rPr>
              <w:t>0</w:t>
            </w:r>
            <w:r>
              <w:rPr>
                <w:rFonts w:hint="default" w:ascii="Arial" w:hAnsi="Arial" w:eastAsia="宋体" w:cs="Arial"/>
                <w:color w:val="auto"/>
                <w:sz w:val="21"/>
                <w:szCs w:val="21"/>
                <w:highlight w:val="none"/>
                <w:lang w:val="en-US" w:eastAsia="zh-CN"/>
              </w:rPr>
              <w:t>.0</w:t>
            </w:r>
            <w:r>
              <w:rPr>
                <w:rFonts w:hint="default" w:ascii="Arial" w:hAnsi="Arial" w:eastAsia="宋体" w:cs="Arial"/>
                <w:color w:val="auto"/>
                <w:sz w:val="21"/>
                <w:szCs w:val="21"/>
                <w:highlight w:val="none"/>
              </w:rPr>
              <w:t>分)</w:t>
            </w:r>
          </w:p>
        </w:tc>
        <w:tc>
          <w:tcPr>
            <w:tcW w:w="5942" w:type="dxa"/>
            <w:noWrap w:val="0"/>
            <w:vAlign w:val="center"/>
          </w:tcPr>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根据供应商提供的项目</w:t>
            </w:r>
            <w:r>
              <w:rPr>
                <w:rFonts w:hint="default" w:ascii="Arial" w:hAnsi="Arial" w:eastAsia="宋体" w:cs="Arial"/>
                <w:color w:val="auto"/>
                <w:sz w:val="21"/>
                <w:szCs w:val="21"/>
                <w:highlight w:val="none"/>
                <w:lang w:val="en-US" w:eastAsia="zh-CN"/>
              </w:rPr>
              <w:t>情况理解</w:t>
            </w:r>
            <w:r>
              <w:rPr>
                <w:rFonts w:hint="default" w:ascii="Arial" w:hAnsi="Arial" w:eastAsia="宋体" w:cs="Arial"/>
                <w:color w:val="auto"/>
                <w:sz w:val="21"/>
                <w:szCs w:val="21"/>
                <w:highlight w:val="none"/>
              </w:rPr>
              <w:t>是否</w:t>
            </w:r>
            <w:r>
              <w:rPr>
                <w:rFonts w:hint="default" w:ascii="Arial" w:hAnsi="Arial" w:eastAsia="宋体" w:cs="Arial"/>
                <w:color w:val="auto"/>
                <w:sz w:val="21"/>
                <w:szCs w:val="21"/>
                <w:highlight w:val="none"/>
                <w:lang w:val="en-US" w:eastAsia="zh-CN"/>
              </w:rPr>
              <w:t>符合项目情况</w:t>
            </w:r>
            <w:r>
              <w:rPr>
                <w:rFonts w:hint="default" w:ascii="Arial" w:hAnsi="Arial" w:eastAsia="宋体" w:cs="Arial"/>
                <w:color w:val="auto"/>
                <w:sz w:val="21"/>
                <w:szCs w:val="21"/>
                <w:highlight w:val="none"/>
              </w:rPr>
              <w:t xml:space="preserve">，进行评审：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详细完整，清晰全面，严谨规范的，完全满足且部分优于采购需求的，得</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分；</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完整但不具体，清晰但不全面，规范但不严谨的，仅满足采购需求的，得</w:t>
            </w:r>
            <w:r>
              <w:rPr>
                <w:rFonts w:hint="default" w:ascii="Arial" w:hAnsi="Arial" w:eastAsia="宋体" w:cs="Arial"/>
                <w:color w:val="auto"/>
                <w:sz w:val="21"/>
                <w:szCs w:val="21"/>
                <w:highlight w:val="none"/>
                <w:lang w:val="en-US" w:eastAsia="zh-CN"/>
              </w:rPr>
              <w:t>7</w:t>
            </w:r>
            <w:r>
              <w:rPr>
                <w:rFonts w:hint="default" w:ascii="Arial" w:hAnsi="Arial" w:eastAsia="宋体" w:cs="Arial"/>
                <w:color w:val="auto"/>
                <w:sz w:val="21"/>
                <w:szCs w:val="21"/>
                <w:highlight w:val="none"/>
              </w:rPr>
              <w:t>分；</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不完整，不清晰、不严谨的，对采购需求有缺失的，得</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rPr>
              <w:t xml:space="preserve">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.0分)</w:t>
            </w:r>
          </w:p>
        </w:tc>
        <w:tc>
          <w:tcPr>
            <w:tcW w:w="5942" w:type="dxa"/>
            <w:noWrap w:val="0"/>
            <w:vAlign w:val="center"/>
          </w:tcPr>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根据供应商提供的对医疗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 xml:space="preserve">咨询方案具有针对性和可行性描述准确完整进行评审：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咨询方案详细完整，清晰全面，严谨规范的，完全满足且部分优于采购需求的，得</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 xml:space="preserve">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咨询方案完整但不具体，清晰但不全面，规范但不严谨的，仅满足采购需求的，得</w:t>
            </w:r>
            <w:r>
              <w:rPr>
                <w:rFonts w:hint="default" w:ascii="Arial" w:hAnsi="Arial" w:eastAsia="宋体" w:cs="Arial"/>
                <w:color w:val="auto"/>
                <w:sz w:val="21"/>
                <w:szCs w:val="21"/>
                <w:highlight w:val="none"/>
                <w:lang w:val="en-US" w:eastAsia="zh-CN"/>
              </w:rPr>
              <w:t>7</w:t>
            </w:r>
            <w:r>
              <w:rPr>
                <w:rFonts w:hint="default" w:ascii="Arial" w:hAnsi="Arial" w:eastAsia="宋体" w:cs="Arial"/>
                <w:color w:val="auto"/>
                <w:sz w:val="21"/>
                <w:szCs w:val="21"/>
                <w:highlight w:val="none"/>
              </w:rPr>
              <w:t xml:space="preserve">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咨询方案不完整，不清晰、不严谨的，对采购需求有缺失的，得</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rPr>
              <w:t xml:space="preserve">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Fonts w:hint="default" w:ascii="Arial" w:hAnsi="Arial" w:eastAsia="宋体" w:cs="Arial"/>
                <w:color w:val="auto"/>
                <w:sz w:val="21"/>
                <w:szCs w:val="21"/>
                <w:highlight w:val="none"/>
              </w:rPr>
            </w:pPr>
            <w:r>
              <w:rPr>
                <w:rFonts w:hint="default" w:ascii="Arial" w:hAnsi="Arial" w:cs="Arial"/>
                <w:color w:val="auto"/>
                <w:szCs w:val="21"/>
                <w:highlight w:val="none"/>
                <w:lang w:val="en-US" w:eastAsia="zh-CN"/>
              </w:rPr>
              <w:t>项目重点及难点分析及应对措施</w:t>
            </w:r>
            <w:r>
              <w:rPr>
                <w:rFonts w:hint="default" w:ascii="Arial" w:hAnsi="Arial" w:eastAsia="宋体" w:cs="Arial"/>
                <w:color w:val="auto"/>
                <w:sz w:val="21"/>
                <w:szCs w:val="21"/>
                <w:highlight w:val="none"/>
              </w:rPr>
              <w:t>(</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.0分)</w:t>
            </w:r>
          </w:p>
        </w:tc>
        <w:tc>
          <w:tcPr>
            <w:tcW w:w="5942" w:type="dxa"/>
            <w:noWrap w:val="0"/>
            <w:vAlign w:val="center"/>
          </w:tcPr>
          <w:p>
            <w:pPr>
              <w:widowControl/>
              <w:spacing w:line="240" w:lineRule="auto"/>
              <w:textAlignment w:val="center"/>
              <w:rPr>
                <w:rFonts w:hint="default" w:ascii="Arial" w:hAnsi="Arial" w:eastAsia="宋体" w:cs="Arial"/>
                <w:color w:val="auto"/>
                <w:kern w:val="0"/>
                <w:sz w:val="21"/>
                <w:szCs w:val="21"/>
                <w:highlight w:val="none"/>
                <w:lang w:val="en-US" w:eastAsia="zh-CN" w:bidi="ar-SA"/>
              </w:rPr>
            </w:pPr>
            <w:r>
              <w:rPr>
                <w:rFonts w:hint="default" w:ascii="Arial" w:hAnsi="Arial" w:eastAsia="宋体" w:cs="Arial"/>
                <w:color w:val="auto"/>
                <w:kern w:val="0"/>
                <w:sz w:val="21"/>
                <w:szCs w:val="21"/>
                <w:highlight w:val="none"/>
                <w:lang w:val="en-US" w:eastAsia="zh-CN" w:bidi="ar-SA"/>
              </w:rPr>
              <w:t>对项目的重点和难点问题进行分析，并给出应对措施</w:t>
            </w:r>
          </w:p>
          <w:p>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一档：</w:t>
            </w:r>
            <w:r>
              <w:rPr>
                <w:rFonts w:hint="default" w:ascii="Arial" w:hAnsi="Arial" w:eastAsia="宋体" w:cs="Arial"/>
                <w:color w:val="auto"/>
                <w:kern w:val="0"/>
                <w:sz w:val="21"/>
                <w:szCs w:val="21"/>
                <w:highlight w:val="none"/>
                <w:lang w:val="en-US" w:eastAsia="zh-Hans" w:bidi="ar-SA"/>
              </w:rPr>
              <w:t>对项目的重点和难点问题分析透彻、清晰，提出应对措施具体、可行性强的，得</w:t>
            </w:r>
            <w:r>
              <w:rPr>
                <w:rFonts w:hint="default" w:ascii="Arial" w:hAnsi="Arial" w:eastAsia="宋体" w:cs="Arial"/>
                <w:color w:val="auto"/>
                <w:kern w:val="0"/>
                <w:sz w:val="21"/>
                <w:szCs w:val="21"/>
                <w:highlight w:val="none"/>
                <w:lang w:val="en-US" w:eastAsia="zh-CN" w:bidi="ar-SA"/>
              </w:rPr>
              <w:t>10</w:t>
            </w:r>
            <w:r>
              <w:rPr>
                <w:rFonts w:hint="default" w:ascii="Arial" w:hAnsi="Arial" w:eastAsia="宋体" w:cs="Arial"/>
                <w:color w:val="auto"/>
                <w:kern w:val="0"/>
                <w:sz w:val="21"/>
                <w:szCs w:val="21"/>
                <w:highlight w:val="none"/>
                <w:lang w:val="en-US" w:eastAsia="zh-Hans" w:bidi="ar-SA"/>
              </w:rPr>
              <w:t>分；</w:t>
            </w:r>
          </w:p>
          <w:p>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二档：</w:t>
            </w:r>
            <w:r>
              <w:rPr>
                <w:rFonts w:hint="default" w:ascii="Arial" w:hAnsi="Arial" w:eastAsia="宋体" w:cs="Arial"/>
                <w:color w:val="auto"/>
                <w:kern w:val="0"/>
                <w:sz w:val="21"/>
                <w:szCs w:val="21"/>
                <w:highlight w:val="none"/>
                <w:lang w:val="en-US" w:eastAsia="zh-Hans" w:bidi="ar-SA"/>
              </w:rPr>
              <w:t>对项目的重点和难点问题分析比较透彻、清晰，提出应对措施比较可行的，得</w:t>
            </w:r>
            <w:r>
              <w:rPr>
                <w:rFonts w:hint="default" w:ascii="Arial" w:hAnsi="Arial" w:eastAsia="宋体" w:cs="Arial"/>
                <w:color w:val="auto"/>
                <w:kern w:val="0"/>
                <w:sz w:val="21"/>
                <w:szCs w:val="21"/>
                <w:highlight w:val="none"/>
                <w:lang w:val="en-US" w:eastAsia="zh-CN" w:bidi="ar-SA"/>
              </w:rPr>
              <w:t>7</w:t>
            </w:r>
            <w:r>
              <w:rPr>
                <w:rFonts w:hint="default" w:ascii="Arial" w:hAnsi="Arial" w:eastAsia="宋体" w:cs="Arial"/>
                <w:color w:val="auto"/>
                <w:kern w:val="0"/>
                <w:sz w:val="21"/>
                <w:szCs w:val="21"/>
                <w:highlight w:val="none"/>
                <w:lang w:val="en-US" w:eastAsia="zh-Hans" w:bidi="ar-SA"/>
              </w:rPr>
              <w:t>分；</w:t>
            </w:r>
          </w:p>
          <w:p>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三档</w:t>
            </w:r>
            <w:r>
              <w:rPr>
                <w:rFonts w:hint="default" w:ascii="Arial" w:hAnsi="Arial" w:eastAsia="宋体" w:cs="Arial"/>
                <w:color w:val="auto"/>
                <w:kern w:val="0"/>
                <w:sz w:val="21"/>
                <w:szCs w:val="21"/>
                <w:highlight w:val="none"/>
                <w:lang w:val="en-US" w:eastAsia="zh-Hans" w:bidi="ar-SA"/>
              </w:rPr>
              <w:t>对项目的重点和难点问题分析不够透彻、清晰，提出应对措施具有一定可行性的，得</w:t>
            </w:r>
            <w:r>
              <w:rPr>
                <w:rFonts w:hint="default" w:ascii="Arial" w:hAnsi="Arial" w:eastAsia="宋体" w:cs="Arial"/>
                <w:color w:val="auto"/>
                <w:kern w:val="0"/>
                <w:sz w:val="21"/>
                <w:szCs w:val="21"/>
                <w:highlight w:val="none"/>
                <w:lang w:val="en-US" w:eastAsia="zh-CN" w:bidi="ar-SA"/>
              </w:rPr>
              <w:t>4</w:t>
            </w:r>
            <w:r>
              <w:rPr>
                <w:rFonts w:hint="default" w:ascii="Arial" w:hAnsi="Arial" w:eastAsia="宋体" w:cs="Arial"/>
                <w:color w:val="auto"/>
                <w:kern w:val="0"/>
                <w:sz w:val="21"/>
                <w:szCs w:val="21"/>
                <w:highlight w:val="none"/>
                <w:lang w:val="en-US" w:eastAsia="zh-Hans" w:bidi="ar-SA"/>
              </w:rPr>
              <w:t>分；</w:t>
            </w:r>
          </w:p>
          <w:p>
            <w:pPr>
              <w:pStyle w:val="101"/>
              <w:adjustRightInd w:val="0"/>
              <w:snapToGrid w:val="0"/>
              <w:spacing w:line="240" w:lineRule="auto"/>
              <w:jc w:val="both"/>
              <w:rPr>
                <w:rFonts w:hint="default" w:ascii="Arial" w:hAnsi="Arial" w:eastAsia="宋体" w:cs="Arial"/>
                <w:color w:val="auto"/>
                <w:sz w:val="21"/>
                <w:szCs w:val="21"/>
                <w:highlight w:val="none"/>
                <w:lang w:eastAsia="zh-CN"/>
              </w:rPr>
            </w:pPr>
            <w:r>
              <w:rPr>
                <w:rFonts w:hint="default" w:ascii="Arial" w:hAnsi="Arial" w:eastAsia="宋体" w:cs="Arial"/>
                <w:color w:val="auto"/>
                <w:kern w:val="0"/>
                <w:sz w:val="21"/>
                <w:szCs w:val="21"/>
                <w:highlight w:val="none"/>
                <w:lang w:val="en-US" w:eastAsia="zh-CN" w:bidi="ar-SA"/>
              </w:rPr>
              <w:t>注：</w:t>
            </w:r>
            <w:r>
              <w:rPr>
                <w:rFonts w:hint="default" w:ascii="Arial" w:hAnsi="Arial" w:eastAsia="宋体" w:cs="Arial"/>
                <w:color w:val="auto"/>
                <w:kern w:val="0"/>
                <w:sz w:val="21"/>
                <w:szCs w:val="21"/>
                <w:highlight w:val="none"/>
                <w:lang w:val="en-US" w:eastAsia="zh-Hans" w:bidi="ar-SA"/>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工作进度安排及质量保证措施 (10.0分)</w:t>
            </w:r>
          </w:p>
        </w:tc>
        <w:tc>
          <w:tcPr>
            <w:tcW w:w="5942" w:type="dxa"/>
            <w:noWrap w:val="0"/>
            <w:vAlign w:val="center"/>
          </w:tcPr>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对各阶段医疗工艺方案设计的工作进度安排（包括但不限于各级医疗工艺方案设计中的时间安排）及质量保证措施进行评审： </w:t>
            </w: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 xml:space="preserve">工作进度安排紧凑合理、可行，针对性强，，人员分工明确，各阶段各流程对应的质量保证措施系统到位、详尽、合理、有效，得10分；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 xml:space="preserve">工作进度安排较合理、可行，针对性较强，人员分工明确，各阶段各流程对应的质量保证措施较系统、详尽、合理、有一定的效果，得7分；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 xml:space="preserve">工作进度安排基本合理、可行，有一定针对性，人员有基本的分工，质量保证措施一般，内容简单，基本合理的，得4分； </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cs="Arial"/>
                <w:color w:val="auto"/>
                <w:sz w:val="21"/>
                <w:szCs w:val="21"/>
                <w:highlight w:val="none"/>
              </w:rPr>
              <w:t>与采购人及各单位的协同配合方案</w:t>
            </w:r>
            <w:r>
              <w:rPr>
                <w:rFonts w:hint="default" w:ascii="Arial" w:hAnsi="Arial" w:eastAsia="宋体" w:cs="Arial"/>
                <w:color w:val="auto"/>
                <w:sz w:val="21"/>
                <w:szCs w:val="21"/>
                <w:highlight w:val="none"/>
              </w:rPr>
              <w:t>(10.0分)</w:t>
            </w:r>
          </w:p>
        </w:tc>
        <w:tc>
          <w:tcPr>
            <w:tcW w:w="5942" w:type="dxa"/>
            <w:noWrap w:val="0"/>
            <w:vAlign w:val="center"/>
          </w:tcPr>
          <w:p>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rPr>
              <w:t xml:space="preserve">根据供应商对整体协调及与采购人及各单位（包括但不限于设计单位、施工单位）的协同配合方案进行评审： </w:t>
            </w:r>
          </w:p>
          <w:p>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一档：</w:t>
            </w:r>
            <w:r>
              <w:rPr>
                <w:rFonts w:hint="default" w:ascii="Arial" w:hAnsi="Arial" w:cs="Arial"/>
                <w:color w:val="auto"/>
                <w:sz w:val="21"/>
                <w:szCs w:val="21"/>
                <w:highlight w:val="none"/>
              </w:rPr>
              <w:t xml:space="preserve">方案考虑全面、具体，具有可行性、针对性，严密规范，可操作性强，得10分； </w:t>
            </w:r>
          </w:p>
          <w:p>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二档：</w:t>
            </w:r>
            <w:r>
              <w:rPr>
                <w:rFonts w:hint="default" w:ascii="Arial" w:hAnsi="Arial" w:cs="Arial"/>
                <w:color w:val="auto"/>
                <w:sz w:val="21"/>
                <w:szCs w:val="21"/>
                <w:highlight w:val="none"/>
              </w:rPr>
              <w:t xml:space="preserve">方案考虑较全面、较具体，具有较强的可行性、针对性，较严密规范，具有可操作性，得7分； </w:t>
            </w:r>
          </w:p>
          <w:p>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三档：</w:t>
            </w:r>
            <w:r>
              <w:rPr>
                <w:rFonts w:hint="default" w:ascii="Arial" w:hAnsi="Arial" w:cs="Arial"/>
                <w:color w:val="auto"/>
                <w:sz w:val="21"/>
                <w:szCs w:val="21"/>
                <w:highlight w:val="none"/>
              </w:rPr>
              <w:t xml:space="preserve">方案考虑基本全面、具体，具有一定可行性、针对性、可操作性的，得4分； </w:t>
            </w:r>
          </w:p>
          <w:p>
            <w:pPr>
              <w:pStyle w:val="101"/>
              <w:adjustRightInd w:val="0"/>
              <w:snapToGrid w:val="0"/>
              <w:spacing w:line="276" w:lineRule="auto"/>
              <w:jc w:val="both"/>
              <w:rPr>
                <w:rFonts w:hint="default" w:ascii="Arial" w:hAnsi="Arial" w:eastAsia="宋体" w:cs="Arial"/>
                <w:color w:val="auto"/>
                <w:kern w:val="2"/>
                <w:sz w:val="21"/>
                <w:szCs w:val="21"/>
                <w:highlight w:val="none"/>
                <w:lang w:eastAsia="zh-CN"/>
              </w:rPr>
            </w:pPr>
            <w:r>
              <w:rPr>
                <w:rFonts w:hint="default" w:ascii="Arial" w:hAnsi="Arial" w:cs="Arial"/>
                <w:color w:val="auto"/>
                <w:sz w:val="21"/>
                <w:szCs w:val="21"/>
                <w:highlight w:val="none"/>
                <w:lang w:eastAsia="zh-CN"/>
              </w:rPr>
              <w:t>注：</w:t>
            </w:r>
            <w:r>
              <w:rPr>
                <w:rFonts w:hint="default" w:ascii="Arial" w:hAnsi="Arial" w:cs="Arial"/>
                <w:color w:val="auto"/>
                <w:sz w:val="21"/>
                <w:szCs w:val="21"/>
                <w:highlight w:val="none"/>
              </w:rPr>
              <w:t>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71"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3</w:t>
            </w:r>
          </w:p>
        </w:tc>
        <w:tc>
          <w:tcPr>
            <w:tcW w:w="1003"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商务分</w:t>
            </w:r>
          </w:p>
        </w:tc>
        <w:tc>
          <w:tcPr>
            <w:tcW w:w="765" w:type="dxa"/>
            <w:vMerge w:val="restart"/>
            <w:noWrap w:val="0"/>
            <w:vAlign w:val="center"/>
          </w:tcPr>
          <w:p>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lang w:eastAsia="zh-CN"/>
              </w:rPr>
              <w:t>4</w:t>
            </w:r>
            <w:r>
              <w:rPr>
                <w:rFonts w:hint="default" w:ascii="Arial" w:hAnsi="Arial" w:eastAsia="宋体" w:cs="Arial"/>
                <w:b/>
                <w:color w:val="auto"/>
                <w:szCs w:val="21"/>
                <w:highlight w:val="none"/>
              </w:rPr>
              <w:t>0分</w:t>
            </w:r>
          </w:p>
        </w:tc>
        <w:tc>
          <w:tcPr>
            <w:tcW w:w="1423" w:type="dxa"/>
            <w:noWrap w:val="0"/>
            <w:vAlign w:val="center"/>
          </w:tcPr>
          <w:p>
            <w:pPr>
              <w:pStyle w:val="101"/>
              <w:adjustRightInd w:val="0"/>
              <w:snapToGrid w:val="0"/>
              <w:spacing w:line="276" w:lineRule="auto"/>
              <w:jc w:val="center"/>
              <w:rPr>
                <w:rStyle w:val="58"/>
                <w:rFonts w:hint="default" w:ascii="Arial" w:hAnsi="Arial" w:cs="Arial"/>
                <w:b/>
                <w:bCs/>
                <w:strike/>
                <w:color w:val="auto"/>
                <w:sz w:val="21"/>
                <w:highlight w:val="none"/>
              </w:rPr>
            </w:pPr>
            <w:r>
              <w:rPr>
                <w:rFonts w:hint="default" w:ascii="Arial" w:hAnsi="Arial" w:eastAsia="宋体" w:cs="Arial"/>
                <w:color w:val="auto"/>
                <w:sz w:val="21"/>
                <w:szCs w:val="21"/>
                <w:highlight w:val="none"/>
              </w:rPr>
              <w:t>企业认证 (</w:t>
            </w:r>
            <w:r>
              <w:rPr>
                <w:rFonts w:hint="default" w:ascii="Arial" w:hAnsi="Arial" w:eastAsia="宋体" w:cs="Arial"/>
                <w:color w:val="auto"/>
                <w:sz w:val="21"/>
                <w:szCs w:val="21"/>
                <w:highlight w:val="none"/>
                <w:lang w:eastAsia="zh-CN"/>
              </w:rPr>
              <w:t>6</w:t>
            </w:r>
            <w:r>
              <w:rPr>
                <w:rFonts w:hint="default" w:ascii="Arial" w:hAnsi="Arial" w:eastAsia="宋体" w:cs="Arial"/>
                <w:color w:val="auto"/>
                <w:sz w:val="21"/>
                <w:szCs w:val="21"/>
                <w:highlight w:val="none"/>
              </w:rPr>
              <w:t>.0分)</w:t>
            </w:r>
          </w:p>
        </w:tc>
        <w:tc>
          <w:tcPr>
            <w:tcW w:w="5942" w:type="dxa"/>
            <w:noWrap w:val="0"/>
            <w:vAlign w:val="center"/>
          </w:tcPr>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供应商具有以下证书且证书处于有效期内的，每提供一个得2分，本项累计最高得6分；(1)质量管理体系认证证书；(2)环境管理体系认证证书；(3)职业健康安全管理体系认证证书。</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b/>
                <w:bCs/>
                <w:color w:val="auto"/>
                <w:kern w:val="2"/>
                <w:sz w:val="21"/>
                <w:szCs w:val="21"/>
                <w:highlight w:val="none"/>
              </w:rPr>
              <w:t>注：(提供证书清晰扫描件及网站查询截图)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Style w:val="58"/>
                <w:rFonts w:hint="default" w:ascii="Arial" w:hAnsi="Arial" w:cs="Arial"/>
                <w:b/>
                <w:bCs/>
                <w:color w:val="auto"/>
                <w:sz w:val="21"/>
                <w:highlight w:val="none"/>
              </w:rPr>
            </w:pPr>
            <w:r>
              <w:rPr>
                <w:rFonts w:hint="default" w:ascii="Arial" w:hAnsi="Arial" w:eastAsia="宋体" w:cs="Arial"/>
                <w:color w:val="auto"/>
                <w:sz w:val="21"/>
                <w:szCs w:val="21"/>
                <w:highlight w:val="none"/>
              </w:rPr>
              <w:t>服务团队配置(1</w:t>
            </w:r>
            <w:r>
              <w:rPr>
                <w:rFonts w:hint="default" w:ascii="Arial" w:hAnsi="Arial" w:eastAsia="宋体" w:cs="Arial"/>
                <w:color w:val="auto"/>
                <w:sz w:val="21"/>
                <w:szCs w:val="21"/>
                <w:highlight w:val="none"/>
                <w:lang w:eastAsia="zh-CN"/>
              </w:rPr>
              <w:t>4</w:t>
            </w:r>
            <w:r>
              <w:rPr>
                <w:rFonts w:hint="default" w:ascii="Arial" w:hAnsi="Arial" w:eastAsia="宋体" w:cs="Arial"/>
                <w:color w:val="auto"/>
                <w:sz w:val="21"/>
                <w:szCs w:val="21"/>
                <w:highlight w:val="none"/>
              </w:rPr>
              <w:t>.0分)</w:t>
            </w:r>
          </w:p>
        </w:tc>
        <w:tc>
          <w:tcPr>
            <w:tcW w:w="5942" w:type="dxa"/>
            <w:noWrap w:val="0"/>
            <w:vAlign w:val="center"/>
          </w:tcPr>
          <w:p>
            <w:pPr>
              <w:pStyle w:val="101"/>
              <w:numPr>
                <w:ilvl w:val="0"/>
                <w:numId w:val="3"/>
              </w:numPr>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负责人：具有医学或建筑相关专业中级职称的得1分，高级（或以上）职称的得2分；自2022年1月至递交响应文件截止日，每提供一项担任类似项目案例的项目负责人（或项目经理或专业负责人）业绩得2分，本项累计最高得6分。（类似业绩为：医疗工艺</w:t>
            </w:r>
            <w:r>
              <w:rPr>
                <w:rFonts w:hint="default" w:ascii="Arial" w:hAnsi="Arial" w:eastAsia="宋体" w:cs="Arial"/>
                <w:color w:val="auto"/>
                <w:sz w:val="21"/>
                <w:szCs w:val="21"/>
                <w:highlight w:val="none"/>
                <w:lang w:eastAsia="zh-CN"/>
              </w:rPr>
              <w:t>咨询</w:t>
            </w:r>
            <w:r>
              <w:rPr>
                <w:rFonts w:hint="default" w:ascii="Arial" w:hAnsi="Arial" w:eastAsia="宋体" w:cs="Arial"/>
                <w:color w:val="auto"/>
                <w:sz w:val="21"/>
                <w:szCs w:val="21"/>
                <w:highlight w:val="none"/>
              </w:rPr>
              <w:t>业绩</w:t>
            </w:r>
            <w:r>
              <w:rPr>
                <w:rFonts w:hint="default" w:ascii="Arial" w:hAnsi="Arial" w:eastAsia="宋体" w:cs="Arial"/>
                <w:color w:val="auto"/>
                <w:sz w:val="21"/>
                <w:szCs w:val="21"/>
                <w:highlight w:val="none"/>
                <w:lang w:eastAsia="zh-CN"/>
              </w:rPr>
              <w:t>或医疗工艺设计业绩</w:t>
            </w:r>
            <w:r>
              <w:rPr>
                <w:rFonts w:hint="default" w:ascii="Arial" w:hAnsi="Arial" w:eastAsia="宋体" w:cs="Arial"/>
                <w:color w:val="auto"/>
                <w:sz w:val="21"/>
                <w:szCs w:val="21"/>
                <w:highlight w:val="none"/>
              </w:rPr>
              <w:t>）</w:t>
            </w:r>
          </w:p>
          <w:p>
            <w:pPr>
              <w:pStyle w:val="101"/>
              <w:numPr>
                <w:ilvl w:val="0"/>
                <w:numId w:val="3"/>
              </w:numPr>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项目配套人员：每具有</w:t>
            </w:r>
            <w:r>
              <w:rPr>
                <w:rFonts w:hint="default" w:ascii="Arial" w:hAnsi="Arial" w:eastAsia="宋体" w:cs="Arial"/>
                <w:color w:val="auto"/>
                <w:sz w:val="21"/>
                <w:szCs w:val="21"/>
                <w:highlight w:val="none"/>
                <w:lang w:eastAsia="zh-CN"/>
              </w:rPr>
              <w:t>一</w:t>
            </w:r>
            <w:r>
              <w:rPr>
                <w:rFonts w:hint="default" w:ascii="Arial" w:hAnsi="Arial" w:eastAsia="宋体" w:cs="Arial"/>
                <w:color w:val="auto"/>
                <w:sz w:val="21"/>
                <w:szCs w:val="21"/>
                <w:highlight w:val="none"/>
              </w:rPr>
              <w:t>个医学类或工程类相关专业</w:t>
            </w:r>
            <w:r>
              <w:rPr>
                <w:rFonts w:hint="default" w:ascii="Arial" w:hAnsi="Arial" w:eastAsia="宋体" w:cs="Arial"/>
                <w:color w:val="auto"/>
                <w:sz w:val="21"/>
                <w:szCs w:val="21"/>
                <w:highlight w:val="none"/>
                <w:lang w:eastAsia="zh-CN"/>
              </w:rPr>
              <w:t>中级</w:t>
            </w:r>
            <w:r>
              <w:rPr>
                <w:rFonts w:hint="default" w:ascii="Arial" w:hAnsi="Arial" w:eastAsia="宋体" w:cs="Arial"/>
                <w:color w:val="auto"/>
                <w:sz w:val="21"/>
                <w:szCs w:val="21"/>
                <w:highlight w:val="none"/>
              </w:rPr>
              <w:t>职称的得</w:t>
            </w:r>
            <w:r>
              <w:rPr>
                <w:rFonts w:hint="default" w:ascii="Arial" w:hAnsi="Arial" w:eastAsia="宋体" w:cs="Arial"/>
                <w:color w:val="auto"/>
                <w:sz w:val="21"/>
                <w:szCs w:val="21"/>
                <w:highlight w:val="none"/>
                <w:lang w:eastAsia="zh-CN"/>
              </w:rPr>
              <w:t>1</w:t>
            </w:r>
            <w:r>
              <w:rPr>
                <w:rFonts w:hint="default" w:ascii="Arial" w:hAnsi="Arial" w:eastAsia="宋体" w:cs="Arial"/>
                <w:color w:val="auto"/>
                <w:sz w:val="21"/>
                <w:szCs w:val="21"/>
                <w:highlight w:val="none"/>
              </w:rPr>
              <w:t>分</w:t>
            </w:r>
            <w:r>
              <w:rPr>
                <w:rFonts w:hint="default" w:ascii="Arial" w:hAnsi="Arial" w:eastAsia="宋体" w:cs="Arial"/>
                <w:color w:val="auto"/>
                <w:sz w:val="21"/>
                <w:szCs w:val="21"/>
                <w:highlight w:val="none"/>
                <w:lang w:eastAsia="zh-CN"/>
              </w:rPr>
              <w:t>，每</w:t>
            </w:r>
            <w:r>
              <w:rPr>
                <w:rFonts w:hint="default" w:ascii="Arial" w:hAnsi="Arial" w:eastAsia="宋体" w:cs="Arial"/>
                <w:color w:val="auto"/>
                <w:sz w:val="21"/>
                <w:szCs w:val="21"/>
                <w:highlight w:val="none"/>
              </w:rPr>
              <w:t>一个医学类或工程类相关专业高级（或以上级）职称的得2分，本项累计最高得</w:t>
            </w:r>
            <w:r>
              <w:rPr>
                <w:rFonts w:hint="default" w:ascii="Arial" w:hAnsi="Arial" w:eastAsia="宋体" w:cs="Arial"/>
                <w:color w:val="auto"/>
                <w:sz w:val="21"/>
                <w:szCs w:val="21"/>
                <w:highlight w:val="none"/>
                <w:lang w:eastAsia="zh-CN"/>
              </w:rPr>
              <w:t>8</w:t>
            </w:r>
            <w:r>
              <w:rPr>
                <w:rFonts w:hint="default" w:ascii="Arial" w:hAnsi="Arial" w:eastAsia="宋体" w:cs="Arial"/>
                <w:color w:val="auto"/>
                <w:sz w:val="21"/>
                <w:szCs w:val="21"/>
                <w:highlight w:val="none"/>
              </w:rPr>
              <w:t xml:space="preserve">分。 </w:t>
            </w:r>
          </w:p>
          <w:p>
            <w:pPr>
              <w:pStyle w:val="101"/>
              <w:numPr>
                <w:ilvl w:val="0"/>
                <w:numId w:val="0"/>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rPr>
              <w:t>注</w:t>
            </w:r>
            <w:r>
              <w:rPr>
                <w:rFonts w:hint="default" w:ascii="Arial" w:hAnsi="Arial" w:eastAsia="宋体" w:cs="Arial"/>
                <w:b/>
                <w:bCs/>
                <w:color w:val="auto"/>
                <w:kern w:val="2"/>
                <w:sz w:val="21"/>
                <w:szCs w:val="21"/>
                <w:highlight w:val="none"/>
                <w:lang w:eastAsia="zh-CN"/>
              </w:rPr>
              <w:t>：</w:t>
            </w:r>
          </w:p>
          <w:p>
            <w:pPr>
              <w:pStyle w:val="101"/>
              <w:numPr>
                <w:ilvl w:val="0"/>
                <w:numId w:val="4"/>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rPr>
              <w:t>同一人员不重复计分，上述涉及人员需提供相关证书及在职证明复印件加盖</w:t>
            </w:r>
            <w:r>
              <w:rPr>
                <w:rFonts w:hint="default" w:ascii="Arial" w:hAnsi="Arial" w:eastAsia="宋体" w:cs="Arial"/>
                <w:b/>
                <w:bCs/>
                <w:color w:val="auto"/>
                <w:kern w:val="2"/>
                <w:sz w:val="21"/>
                <w:szCs w:val="21"/>
                <w:highlight w:val="none"/>
                <w:lang w:eastAsia="zh-CN"/>
              </w:rPr>
              <w:t>供应商公章</w:t>
            </w:r>
            <w:r>
              <w:rPr>
                <w:rFonts w:hint="default" w:ascii="Arial" w:hAnsi="Arial" w:eastAsia="宋体" w:cs="Arial"/>
                <w:b/>
                <w:bCs/>
                <w:color w:val="auto"/>
                <w:kern w:val="2"/>
                <w:sz w:val="21"/>
                <w:szCs w:val="21"/>
                <w:highlight w:val="none"/>
              </w:rPr>
              <w:t>。</w:t>
            </w:r>
          </w:p>
          <w:p>
            <w:pPr>
              <w:pStyle w:val="101"/>
              <w:numPr>
                <w:ilvl w:val="0"/>
                <w:numId w:val="4"/>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lang w:val="en-US" w:eastAsia="zh-CN"/>
              </w:rPr>
              <w:t>项目负责人业绩</w:t>
            </w:r>
            <w:r>
              <w:rPr>
                <w:rFonts w:hint="default" w:ascii="Arial" w:hAnsi="Arial" w:eastAsia="宋体" w:cs="Arial"/>
                <w:b/>
                <w:bCs/>
                <w:color w:val="auto"/>
                <w:kern w:val="2"/>
                <w:sz w:val="21"/>
                <w:szCs w:val="21"/>
                <w:highlight w:val="none"/>
                <w:lang w:eastAsia="zh-CN"/>
              </w:rPr>
              <w:t>须提供中标（或成交）通知书或</w:t>
            </w:r>
            <w:r>
              <w:rPr>
                <w:rFonts w:hint="default" w:ascii="Arial" w:hAnsi="Arial" w:eastAsia="宋体" w:cs="Arial"/>
                <w:b/>
                <w:bCs/>
                <w:color w:val="auto"/>
                <w:kern w:val="2"/>
                <w:sz w:val="21"/>
                <w:szCs w:val="21"/>
                <w:highlight w:val="none"/>
              </w:rPr>
              <w:t>合同复印件关键页加盖供应商公章</w:t>
            </w:r>
            <w:r>
              <w:rPr>
                <w:rFonts w:hint="default" w:ascii="Arial" w:hAnsi="Arial" w:eastAsia="宋体" w:cs="Arial"/>
                <w:b/>
                <w:bCs/>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71"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lang w:eastAsia="zh-CN"/>
              </w:rPr>
              <w:t>业绩</w:t>
            </w:r>
            <w:r>
              <w:rPr>
                <w:rFonts w:hint="default" w:ascii="Arial" w:hAnsi="Arial" w:eastAsia="宋体" w:cs="Arial"/>
                <w:color w:val="auto"/>
                <w:sz w:val="21"/>
                <w:szCs w:val="21"/>
                <w:highlight w:val="none"/>
              </w:rPr>
              <w:t xml:space="preserve"> (</w:t>
            </w:r>
            <w:r>
              <w:rPr>
                <w:rFonts w:hint="default" w:ascii="Arial" w:hAnsi="Arial" w:eastAsia="宋体" w:cs="Arial"/>
                <w:color w:val="auto"/>
                <w:sz w:val="21"/>
                <w:szCs w:val="21"/>
                <w:highlight w:val="none"/>
                <w:lang w:eastAsia="zh-CN"/>
              </w:rPr>
              <w:t>20</w:t>
            </w:r>
            <w:r>
              <w:rPr>
                <w:rFonts w:hint="default" w:ascii="Arial" w:hAnsi="Arial" w:eastAsia="宋体" w:cs="Arial"/>
                <w:color w:val="auto"/>
                <w:sz w:val="21"/>
                <w:szCs w:val="21"/>
                <w:highlight w:val="none"/>
              </w:rPr>
              <w:t>.0分)</w:t>
            </w:r>
          </w:p>
        </w:tc>
        <w:tc>
          <w:tcPr>
            <w:tcW w:w="5942" w:type="dxa"/>
            <w:noWrap w:val="0"/>
            <w:vAlign w:val="center"/>
          </w:tcPr>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供应商2022年1月1日至递交响应文件截止时间，具有一个类似项目业绩的得</w:t>
            </w:r>
            <w:r>
              <w:rPr>
                <w:rFonts w:hint="default" w:ascii="Arial" w:hAnsi="Arial" w:eastAsia="宋体" w:cs="Arial"/>
                <w:color w:val="auto"/>
                <w:sz w:val="21"/>
                <w:szCs w:val="21"/>
                <w:highlight w:val="none"/>
                <w:lang w:eastAsia="zh-CN"/>
              </w:rPr>
              <w:t>2</w:t>
            </w:r>
            <w:r>
              <w:rPr>
                <w:rFonts w:hint="default" w:ascii="Arial" w:hAnsi="Arial" w:eastAsia="宋体" w:cs="Arial"/>
                <w:color w:val="auto"/>
                <w:sz w:val="21"/>
                <w:szCs w:val="21"/>
                <w:highlight w:val="none"/>
              </w:rPr>
              <w:t>分，（类似业绩为：医疗工艺咨询业绩或医疗工艺设计业绩），最多得</w:t>
            </w:r>
            <w:r>
              <w:rPr>
                <w:rFonts w:hint="default" w:ascii="Arial" w:hAnsi="Arial" w:eastAsia="宋体" w:cs="Arial"/>
                <w:color w:val="auto"/>
                <w:sz w:val="21"/>
                <w:szCs w:val="21"/>
                <w:highlight w:val="none"/>
                <w:lang w:eastAsia="zh-CN"/>
              </w:rPr>
              <w:t>2</w:t>
            </w:r>
            <w:r>
              <w:rPr>
                <w:rFonts w:hint="default" w:ascii="Arial" w:hAnsi="Arial" w:eastAsia="宋体" w:cs="Arial"/>
                <w:color w:val="auto"/>
                <w:sz w:val="21"/>
                <w:szCs w:val="21"/>
                <w:highlight w:val="none"/>
                <w:lang w:val="en-US" w:eastAsia="zh-CN"/>
              </w:rPr>
              <w:t>0</w:t>
            </w:r>
            <w:r>
              <w:rPr>
                <w:rFonts w:hint="default" w:ascii="Arial" w:hAnsi="Arial" w:eastAsia="宋体" w:cs="Arial"/>
                <w:color w:val="auto"/>
                <w:sz w:val="21"/>
                <w:szCs w:val="21"/>
                <w:highlight w:val="none"/>
              </w:rPr>
              <w:t>分。</w:t>
            </w:r>
          </w:p>
          <w:p>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注：企业业绩和项目负责人业绩可重复</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 xml:space="preserve"> </w:t>
            </w:r>
            <w:r>
              <w:rPr>
                <w:rFonts w:hint="default" w:ascii="Arial" w:hAnsi="Arial" w:eastAsia="宋体" w:cs="Arial"/>
                <w:color w:val="auto"/>
                <w:sz w:val="21"/>
                <w:szCs w:val="21"/>
                <w:highlight w:val="none"/>
                <w:lang w:eastAsia="zh-CN"/>
              </w:rPr>
              <w:t>须提供中标（或成交）通知书或</w:t>
            </w:r>
            <w:r>
              <w:rPr>
                <w:rFonts w:hint="default" w:ascii="Arial" w:hAnsi="Arial" w:eastAsia="宋体" w:cs="Arial"/>
                <w:color w:val="auto"/>
                <w:sz w:val="21"/>
                <w:szCs w:val="21"/>
                <w:highlight w:val="none"/>
              </w:rPr>
              <w:t>合同复印件关键页作为评审依据，不提供的不得分，同一项目</w:t>
            </w:r>
            <w:r>
              <w:rPr>
                <w:rFonts w:hint="default" w:ascii="Arial" w:hAnsi="Arial" w:eastAsia="宋体" w:cs="Arial"/>
                <w:color w:val="auto"/>
                <w:sz w:val="21"/>
                <w:szCs w:val="21"/>
                <w:highlight w:val="none"/>
                <w:lang w:eastAsia="zh-CN"/>
              </w:rPr>
              <w:t>多个分标的</w:t>
            </w:r>
            <w:r>
              <w:rPr>
                <w:rFonts w:hint="default" w:ascii="Arial" w:hAnsi="Arial" w:eastAsia="宋体" w:cs="Arial"/>
                <w:color w:val="auto"/>
                <w:sz w:val="21"/>
                <w:szCs w:val="21"/>
                <w:highlight w:val="none"/>
              </w:rPr>
              <w:t>，只按</w:t>
            </w:r>
            <w:r>
              <w:rPr>
                <w:rFonts w:hint="default" w:ascii="Arial" w:hAnsi="Arial" w:eastAsia="宋体" w:cs="Arial"/>
                <w:color w:val="auto"/>
                <w:sz w:val="21"/>
                <w:szCs w:val="21"/>
                <w:highlight w:val="none"/>
                <w:lang w:eastAsia="zh-CN"/>
              </w:rPr>
              <w:t>一个项目计算</w:t>
            </w:r>
            <w:r>
              <w:rPr>
                <w:rFonts w:hint="default" w:ascii="Arial" w:hAnsi="Arial" w:eastAsia="宋体" w:cs="Arial"/>
                <w:color w:val="auto"/>
                <w:sz w:val="21"/>
                <w:szCs w:val="21"/>
                <w:highlight w:val="none"/>
              </w:rPr>
              <w:t>得分，不得重复计算。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4" w:type="dxa"/>
            <w:gridSpan w:val="5"/>
            <w:noWrap w:val="0"/>
            <w:vAlign w:val="center"/>
          </w:tcPr>
          <w:p>
            <w:pPr>
              <w:pStyle w:val="21"/>
              <w:spacing w:line="380" w:lineRule="exact"/>
              <w:rPr>
                <w:rFonts w:hint="default" w:ascii="Arial" w:hAnsi="Arial" w:eastAsia="宋体" w:cs="Arial"/>
                <w:bCs/>
                <w:color w:val="auto"/>
                <w:kern w:val="2"/>
                <w:sz w:val="21"/>
                <w:highlight w:val="none"/>
              </w:rPr>
            </w:pPr>
            <w:r>
              <w:rPr>
                <w:rFonts w:hint="default" w:ascii="Arial" w:hAnsi="Arial" w:eastAsia="宋体" w:cs="Arial"/>
                <w:b/>
                <w:bCs/>
                <w:color w:val="auto"/>
                <w:kern w:val="2"/>
                <w:sz w:val="21"/>
                <w:highlight w:val="none"/>
              </w:rPr>
              <w:t>总得分=1+2+3。</w:t>
            </w:r>
          </w:p>
        </w:tc>
      </w:tr>
    </w:tbl>
    <w:p>
      <w:pPr>
        <w:spacing w:line="288" w:lineRule="auto"/>
        <w:ind w:firstLine="420" w:firstLineChars="200"/>
        <w:rPr>
          <w:rFonts w:ascii="Arial" w:hAnsi="Arial" w:cs="Arial"/>
          <w:bCs/>
          <w:color w:val="auto"/>
          <w:szCs w:val="21"/>
          <w:highlight w:val="none"/>
        </w:rPr>
      </w:pPr>
    </w:p>
    <w:p>
      <w:pPr>
        <w:spacing w:line="288" w:lineRule="auto"/>
        <w:ind w:firstLine="420" w:firstLineChars="200"/>
        <w:rPr>
          <w:rFonts w:ascii="Arial" w:hAnsi="Arial" w:cs="Arial"/>
          <w:bCs/>
          <w:color w:val="auto"/>
          <w:szCs w:val="21"/>
          <w:highlight w:val="none"/>
        </w:rPr>
      </w:pPr>
      <w:r>
        <w:rPr>
          <w:rFonts w:ascii="Arial" w:hAnsi="Arial" w:cs="Arial"/>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得分由高至低顺序推荐（按技术得分由高到低排序，技术得分相同的按照</w:t>
      </w:r>
      <w:r>
        <w:rPr>
          <w:rFonts w:ascii="Arial" w:hAnsi="Arial" w:cs="Arial"/>
          <w:color w:val="auto"/>
          <w:szCs w:val="21"/>
          <w:highlight w:val="none"/>
        </w:rPr>
        <w:t>商务力</w:t>
      </w:r>
      <w:r>
        <w:rPr>
          <w:rFonts w:ascii="Arial" w:hAnsi="Arial" w:cs="Arial"/>
          <w:color w:val="auto"/>
          <w:kern w:val="0"/>
          <w:szCs w:val="21"/>
          <w:highlight w:val="none"/>
        </w:rPr>
        <w:t>得分</w:t>
      </w:r>
      <w:r>
        <w:rPr>
          <w:rFonts w:ascii="Arial" w:hAnsi="Arial" w:cs="Arial"/>
          <w:bCs/>
          <w:color w:val="auto"/>
          <w:szCs w:val="21"/>
          <w:highlight w:val="none"/>
        </w:rPr>
        <w:t>由高到低排序）。评审得分、最后报价、技术得分、商务分均相同的，由磋商小组随机抽取推荐。</w:t>
      </w:r>
    </w:p>
    <w:p>
      <w:pPr>
        <w:spacing w:line="528" w:lineRule="exact"/>
        <w:ind w:firstLine="210" w:firstLineChars="100"/>
        <w:rPr>
          <w:rFonts w:ascii="Arial" w:hAnsi="Arial" w:cs="Arial"/>
          <w:color w:val="auto"/>
          <w:sz w:val="28"/>
          <w:szCs w:val="28"/>
          <w:highlight w:val="none"/>
        </w:rPr>
      </w:pPr>
      <w:r>
        <w:rPr>
          <w:rFonts w:ascii="Arial" w:hAnsi="Arial" w:cs="Arial"/>
          <w:bCs/>
          <w:color w:val="auto"/>
          <w:szCs w:val="21"/>
          <w:highlight w:val="none"/>
        </w:rPr>
        <w:br w:type="page"/>
      </w:r>
      <w:r>
        <w:rPr>
          <w:rFonts w:ascii="Arial" w:hAnsi="Arial" w:cs="Arial"/>
          <w:color w:val="auto"/>
          <w:sz w:val="28"/>
          <w:szCs w:val="28"/>
          <w:highlight w:val="none"/>
        </w:rPr>
        <w:t xml:space="preserve">附件1：                </w:t>
      </w:r>
    </w:p>
    <w:p>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33"/>
        <w:tblW w:w="0" w:type="auto"/>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bl>
    <w:p>
      <w:pP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rPr>
          <w:rFonts w:ascii="Arial" w:hAnsi="Arial" w:cs="Arial"/>
          <w:color w:val="auto"/>
          <w:sz w:val="28"/>
          <w:szCs w:val="28"/>
          <w:highlight w:val="none"/>
        </w:rPr>
      </w:pPr>
      <w:r>
        <w:rPr>
          <w:rFonts w:ascii="Arial" w:hAnsi="Arial" w:cs="Arial"/>
          <w:color w:val="auto"/>
          <w:szCs w:val="21"/>
          <w:highlight w:val="none"/>
        </w:rPr>
        <w:br w:type="page"/>
      </w:r>
      <w:r>
        <w:rPr>
          <w:rFonts w:ascii="Arial" w:hAnsi="Arial" w:cs="Arial"/>
          <w:color w:val="auto"/>
          <w:sz w:val="28"/>
          <w:szCs w:val="28"/>
          <w:highlight w:val="none"/>
        </w:rPr>
        <w:t>附件2：</w:t>
      </w:r>
    </w:p>
    <w:p>
      <w:pPr>
        <w:spacing w:line="360" w:lineRule="auto"/>
        <w:rPr>
          <w:rFonts w:ascii="Arial" w:hAnsi="Arial" w:cs="Arial"/>
          <w:color w:val="auto"/>
          <w:szCs w:val="21"/>
          <w:highlight w:val="none"/>
        </w:rPr>
        <w:sectPr>
          <w:headerReference r:id="rId5" w:type="default"/>
          <w:footerReference r:id="rId6" w:type="default"/>
          <w:pgSz w:w="11906" w:h="16838"/>
          <w:pgMar w:top="851" w:right="1133" w:bottom="1246" w:left="1418" w:header="851" w:footer="797" w:gutter="0"/>
          <w:pgNumType w:start="1"/>
          <w:cols w:space="720" w:num="1"/>
          <w:docGrid w:linePitch="312" w:charSpace="0"/>
        </w:sectPr>
      </w:pPr>
      <w:r>
        <w:rPr>
          <w:rFonts w:ascii="Arial" w:hAnsi="Arial"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5573395" cy="8125460"/>
                    </a:xfrm>
                    <a:prstGeom prst="rect">
                      <a:avLst/>
                    </a:prstGeom>
                    <a:noFill/>
                    <a:ln>
                      <a:noFill/>
                    </a:ln>
                  </pic:spPr>
                </pic:pic>
              </a:graphicData>
            </a:graphic>
          </wp:anchor>
        </w:drawing>
      </w:r>
    </w:p>
    <w:p>
      <w:pPr>
        <w:pStyle w:val="3"/>
        <w:spacing w:line="288" w:lineRule="auto"/>
        <w:jc w:val="center"/>
        <w:rPr>
          <w:rFonts w:ascii="Arial" w:hAnsi="Arial" w:cs="Arial"/>
          <w:color w:val="auto"/>
          <w:highlight w:val="none"/>
        </w:rPr>
      </w:pPr>
      <w:bookmarkStart w:id="29" w:name="_Toc44229897"/>
      <w:bookmarkStart w:id="30" w:name="_Toc8136"/>
      <w:r>
        <w:rPr>
          <w:rFonts w:ascii="Arial" w:hAnsi="Arial" w:cs="Arial"/>
          <w:color w:val="auto"/>
          <w:highlight w:val="none"/>
        </w:rPr>
        <w:t>第五章</w:t>
      </w:r>
      <w:r>
        <w:rPr>
          <w:rFonts w:hint="eastAsia" w:ascii="Arial" w:hAnsi="Arial" w:cs="Arial"/>
          <w:color w:val="auto"/>
          <w:highlight w:val="none"/>
        </w:rPr>
        <w:t xml:space="preserve">  </w:t>
      </w:r>
      <w:r>
        <w:rPr>
          <w:rFonts w:ascii="Arial" w:hAnsi="Arial" w:cs="Arial"/>
          <w:color w:val="auto"/>
          <w:highlight w:val="none"/>
        </w:rPr>
        <w:t>响应文件格式</w:t>
      </w:r>
      <w:bookmarkEnd w:id="29"/>
      <w:bookmarkEnd w:id="30"/>
    </w:p>
    <w:p>
      <w:pPr>
        <w:spacing w:line="288" w:lineRule="auto"/>
        <w:rPr>
          <w:rFonts w:ascii="Arial" w:hAnsi="Arial" w:cs="Arial"/>
          <w:b/>
          <w:color w:val="auto"/>
          <w:sz w:val="32"/>
          <w:szCs w:val="32"/>
          <w:highlight w:val="none"/>
        </w:rPr>
      </w:pPr>
    </w:p>
    <w:p>
      <w:pPr>
        <w:spacing w:line="288" w:lineRule="auto"/>
        <w:rPr>
          <w:rFonts w:ascii="Arial" w:hAnsi="Arial" w:cs="Arial"/>
          <w:bCs/>
          <w:color w:val="auto"/>
          <w:sz w:val="32"/>
          <w:szCs w:val="32"/>
          <w:highlight w:val="none"/>
        </w:rPr>
      </w:pPr>
      <w:r>
        <w:rPr>
          <w:rFonts w:ascii="Arial" w:hAnsi="Arial" w:cs="Arial"/>
          <w:b/>
          <w:bCs/>
          <w:color w:val="auto"/>
          <w:sz w:val="32"/>
          <w:szCs w:val="32"/>
          <w:highlight w:val="none"/>
        </w:rPr>
        <w:t>（响应文件封面格式）</w:t>
      </w:r>
    </w:p>
    <w:p>
      <w:pPr>
        <w:spacing w:line="288" w:lineRule="auto"/>
        <w:jc w:val="center"/>
        <w:rPr>
          <w:rFonts w:ascii="Arial" w:hAnsi="Arial" w:cs="Arial"/>
          <w:bCs/>
          <w:color w:val="auto"/>
          <w:sz w:val="24"/>
          <w:highlight w:val="none"/>
        </w:rPr>
      </w:pPr>
    </w:p>
    <w:p>
      <w:pPr>
        <w:spacing w:line="288" w:lineRule="auto"/>
        <w:rPr>
          <w:rFonts w:ascii="Arial" w:hAnsi="Arial" w:cs="Arial"/>
          <w:b/>
          <w:bCs/>
          <w:color w:val="auto"/>
          <w:sz w:val="32"/>
          <w:szCs w:val="32"/>
          <w:highlight w:val="none"/>
        </w:rPr>
      </w:pPr>
      <w:bookmarkStart w:id="31" w:name="_Toc31728084"/>
      <w:bookmarkStart w:id="32" w:name="_Toc44229899"/>
      <w:bookmarkStart w:id="33" w:name="_Toc5803"/>
      <w:bookmarkStart w:id="34" w:name="_Toc35611516"/>
      <w:bookmarkStart w:id="35" w:name="_Toc35611438"/>
      <w:bookmarkStart w:id="36" w:name="_Toc31723070"/>
      <w:r>
        <w:rPr>
          <w:rFonts w:ascii="Arial" w:hAnsi="Arial" w:cs="Arial"/>
          <w:b/>
          <w:bCs/>
          <w:color w:val="auto"/>
          <w:sz w:val="32"/>
          <w:szCs w:val="32"/>
          <w:highlight w:val="none"/>
        </w:rPr>
        <w:t>一、资格证明文件格式</w:t>
      </w:r>
      <w:bookmarkEnd w:id="31"/>
      <w:bookmarkEnd w:id="32"/>
      <w:bookmarkEnd w:id="33"/>
      <w:bookmarkEnd w:id="34"/>
      <w:bookmarkEnd w:id="35"/>
      <w:bookmarkEnd w:id="36"/>
    </w:p>
    <w:p>
      <w:pPr>
        <w:snapToGrid w:val="0"/>
        <w:spacing w:before="156" w:beforeLines="50" w:after="50" w:line="288" w:lineRule="auto"/>
        <w:jc w:val="left"/>
        <w:rPr>
          <w:rFonts w:ascii="Arial" w:hAnsi="Arial" w:cs="Arial"/>
          <w:b/>
          <w:color w:val="auto"/>
          <w:sz w:val="24"/>
          <w:highlight w:val="none"/>
        </w:rPr>
      </w:pPr>
      <w:r>
        <w:rPr>
          <w:rFonts w:ascii="Arial" w:hAnsi="Arial" w:cs="Arial"/>
          <w:b/>
          <w:color w:val="auto"/>
          <w:sz w:val="32"/>
          <w:szCs w:val="32"/>
          <w:highlight w:val="none"/>
        </w:rPr>
        <w:t xml:space="preserve"> 封面格式：</w:t>
      </w:r>
      <w:r>
        <w:rPr>
          <w:rFonts w:ascii="Arial" w:hAnsi="Arial" w:cs="Arial"/>
          <w:b/>
          <w:color w:val="auto"/>
          <w:sz w:val="24"/>
          <w:highlight w:val="none"/>
        </w:rPr>
        <w:t xml:space="preserve"> </w:t>
      </w:r>
    </w:p>
    <w:p>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资格证明文件</w:t>
      </w: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pStyle w:val="7"/>
        <w:snapToGrid w:val="0"/>
        <w:spacing w:before="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pPr>
        <w:pStyle w:val="7"/>
        <w:snapToGrid w:val="0"/>
        <w:spacing w:before="50" w:after="50" w:line="288" w:lineRule="auto"/>
        <w:ind w:firstLine="720" w:firstLineChars="225"/>
        <w:rPr>
          <w:rFonts w:ascii="Arial" w:hAnsi="Arial" w:eastAsia="仿宋_GB2312" w:cs="Arial"/>
          <w:bCs/>
          <w:color w:val="auto"/>
          <w:sz w:val="32"/>
          <w:szCs w:val="32"/>
          <w:highlight w:val="none"/>
        </w:rPr>
      </w:pPr>
    </w:p>
    <w:p>
      <w:pPr>
        <w:pStyle w:val="7"/>
        <w:snapToGrid w:val="0"/>
        <w:spacing w:before="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   年    月    日</w:t>
      </w:r>
    </w:p>
    <w:p>
      <w:pPr>
        <w:snapToGrid w:val="0"/>
        <w:spacing w:before="156" w:beforeLines="50" w:after="50" w:line="288" w:lineRule="auto"/>
        <w:ind w:left="142"/>
        <w:jc w:val="left"/>
        <w:rPr>
          <w:rFonts w:ascii="Arial" w:hAnsi="Arial" w:cs="Arial"/>
          <w:b/>
          <w:bCs/>
          <w:color w:val="auto"/>
          <w:sz w:val="32"/>
          <w:szCs w:val="32"/>
          <w:highlight w:val="none"/>
        </w:rPr>
      </w:pPr>
      <w:r>
        <w:rPr>
          <w:rFonts w:ascii="Arial" w:hAnsi="Arial" w:cs="Arial"/>
          <w:color w:val="auto"/>
          <w:sz w:val="24"/>
          <w:highlight w:val="none"/>
        </w:rPr>
        <w:br w:type="page"/>
      </w: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1.供应商为法人或者其他组织的提供其营业执照等证明文件及资质证书复印件（如营业执照或者事业单位法人证书或者执业许可证等），供应商为自然人的提供其身份证复印件；（必须提供，否则响应文件按无效响应处理）</w:t>
      </w: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2.供应商依法缴纳税收的相关材料（竞标截止前半年内</w:t>
      </w:r>
      <w:r>
        <w:rPr>
          <w:rFonts w:hint="eastAsia" w:ascii="Arial" w:hAnsi="Arial" w:cs="Arial"/>
          <w:b/>
          <w:bCs/>
          <w:color w:val="auto"/>
          <w:highlight w:val="none"/>
        </w:rPr>
        <w:t>任意1个月</w:t>
      </w:r>
      <w:r>
        <w:rPr>
          <w:rFonts w:ascii="Arial" w:hAnsi="Arial" w:cs="Arial"/>
          <w:b/>
          <w:bCs/>
          <w:color w:val="auto"/>
          <w:highlight w:val="none"/>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如供应商为截标时间前60日以内成立的公司，可以提供依法缴纳税的承诺函（格式自拟））；（必须提供，否则响应文件按无效响应处理）</w:t>
      </w: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3.供应商依法缴纳社会保障资金的相关材料[竞标截止前半年内</w:t>
      </w:r>
      <w:r>
        <w:rPr>
          <w:rFonts w:hint="eastAsia" w:ascii="Arial" w:hAnsi="Arial" w:cs="Arial"/>
          <w:b/>
          <w:bCs/>
          <w:color w:val="auto"/>
          <w:highlight w:val="none"/>
        </w:rPr>
        <w:t>任意1个月</w:t>
      </w:r>
      <w:r>
        <w:rPr>
          <w:rFonts w:ascii="Arial" w:hAnsi="Arial" w:cs="Arial"/>
          <w:b/>
          <w:bCs/>
          <w:color w:val="auto"/>
          <w:highlight w:val="none"/>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如供应商为截标时间前60日以内成立的公司，可以提供依法缴纳社会保险费的承诺函（格式自拟）]；（必须提供，否则响应文件按无效响应处理）</w:t>
      </w: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4.供应商财务状况报告[2023年</w:t>
      </w:r>
      <w:r>
        <w:rPr>
          <w:rFonts w:hint="eastAsia" w:ascii="Arial" w:hAnsi="Arial" w:cs="Arial"/>
          <w:b/>
          <w:bCs/>
          <w:color w:val="auto"/>
          <w:highlight w:val="none"/>
        </w:rPr>
        <w:t>或2024年</w:t>
      </w:r>
      <w:r>
        <w:rPr>
          <w:rFonts w:ascii="Arial" w:hAnsi="Arial" w:cs="Arial"/>
          <w:b/>
          <w:bCs/>
          <w:color w:val="auto"/>
          <w:highlight w:val="none"/>
        </w:rPr>
        <w:t>财务状况报告复印件，供应商是法人的，应提供经审计的财务报告（包括“四表一注”，即资产负债表、利润表、现金流量表、所有者权益变动表及其附注)或者其基本开户银行出具的资信证明或者银行出具的资信证明；供应商是其他组织或者自然人的，应提供经审计的财务报告（包括“四表一注”，即资产负债表、利润表、现金流量表、所有者权益变动表及其附注)或者银行出具的资信证明，如供应商为截标时间前60日以内成立的公司，可以提供财务状况的承诺函（格式自拟）]；（必须提供，否则响应文件按无效响应处理）</w:t>
      </w: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br w:type="page"/>
      </w:r>
      <w:r>
        <w:rPr>
          <w:rFonts w:ascii="Arial" w:hAnsi="Arial" w:cs="Arial"/>
          <w:b/>
          <w:bCs/>
          <w:color w:val="auto"/>
          <w:highlight w:val="none"/>
        </w:rPr>
        <w:t>5.供应商直接控股、管理关系信息表（格式后附）；（必须提供，否则响应文件按无效响应处理）</w:t>
      </w:r>
    </w:p>
    <w:p>
      <w:pPr>
        <w:snapToGrid w:val="0"/>
        <w:spacing w:before="156" w:beforeLines="50" w:after="50" w:line="440" w:lineRule="exact"/>
        <w:jc w:val="center"/>
        <w:rPr>
          <w:rFonts w:ascii="Arial" w:hAnsi="Arial" w:cs="Arial"/>
          <w:b/>
          <w:bCs/>
          <w:color w:val="auto"/>
          <w:sz w:val="22"/>
          <w:szCs w:val="28"/>
          <w:highlight w:val="none"/>
        </w:rPr>
      </w:pPr>
      <w:r>
        <w:rPr>
          <w:rFonts w:ascii="Arial" w:hAnsi="Arial" w:cs="Arial"/>
          <w:b/>
          <w:bCs/>
          <w:color w:val="auto"/>
          <w:sz w:val="22"/>
          <w:szCs w:val="28"/>
          <w:highlight w:val="none"/>
        </w:rPr>
        <w:t>供应商直接控股股东信息表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66"/>
        <w:gridCol w:w="1196"/>
        <w:gridCol w:w="3251"/>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8"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序号</w:t>
            </w:r>
          </w:p>
        </w:tc>
        <w:tc>
          <w:tcPr>
            <w:tcW w:w="2066"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直接控股股东名称</w:t>
            </w:r>
          </w:p>
        </w:tc>
        <w:tc>
          <w:tcPr>
            <w:tcW w:w="1196"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出资比例</w:t>
            </w:r>
          </w:p>
        </w:tc>
        <w:tc>
          <w:tcPr>
            <w:tcW w:w="3251"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身份证号码或统一社会信用代码</w:t>
            </w:r>
          </w:p>
        </w:tc>
        <w:tc>
          <w:tcPr>
            <w:tcW w:w="1876"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988"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1</w:t>
            </w:r>
          </w:p>
        </w:tc>
        <w:tc>
          <w:tcPr>
            <w:tcW w:w="2066" w:type="dxa"/>
            <w:noWrap w:val="0"/>
            <w:vAlign w:val="top"/>
          </w:tcPr>
          <w:p>
            <w:pPr>
              <w:snapToGrid w:val="0"/>
              <w:spacing w:before="156" w:beforeLines="50" w:after="50"/>
              <w:rPr>
                <w:rFonts w:ascii="Arial" w:hAnsi="Arial" w:cs="Arial"/>
                <w:color w:val="auto"/>
                <w:highlight w:val="none"/>
              </w:rPr>
            </w:pPr>
          </w:p>
        </w:tc>
        <w:tc>
          <w:tcPr>
            <w:tcW w:w="1196" w:type="dxa"/>
            <w:noWrap w:val="0"/>
            <w:vAlign w:val="top"/>
          </w:tcPr>
          <w:p>
            <w:pPr>
              <w:snapToGrid w:val="0"/>
              <w:spacing w:before="156" w:beforeLines="50" w:after="50"/>
              <w:rPr>
                <w:rFonts w:ascii="Arial" w:hAnsi="Arial" w:cs="Arial"/>
                <w:color w:val="auto"/>
                <w:highlight w:val="none"/>
              </w:rPr>
            </w:pPr>
          </w:p>
        </w:tc>
        <w:tc>
          <w:tcPr>
            <w:tcW w:w="3251" w:type="dxa"/>
            <w:noWrap w:val="0"/>
            <w:vAlign w:val="top"/>
          </w:tcPr>
          <w:p>
            <w:pPr>
              <w:snapToGrid w:val="0"/>
              <w:spacing w:before="156" w:beforeLines="50" w:after="50"/>
              <w:rPr>
                <w:rFonts w:ascii="Arial" w:hAnsi="Arial" w:cs="Arial"/>
                <w:color w:val="auto"/>
                <w:highlight w:val="none"/>
              </w:rPr>
            </w:pPr>
          </w:p>
        </w:tc>
        <w:tc>
          <w:tcPr>
            <w:tcW w:w="1876" w:type="dxa"/>
            <w:noWrap w:val="0"/>
            <w:vAlign w:val="top"/>
          </w:tcPr>
          <w:p>
            <w:pPr>
              <w:snapToGrid w:val="0"/>
              <w:spacing w:before="156" w:beforeLines="50" w:after="5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88"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2</w:t>
            </w:r>
          </w:p>
        </w:tc>
        <w:tc>
          <w:tcPr>
            <w:tcW w:w="2066" w:type="dxa"/>
            <w:noWrap w:val="0"/>
            <w:vAlign w:val="top"/>
          </w:tcPr>
          <w:p>
            <w:pPr>
              <w:snapToGrid w:val="0"/>
              <w:spacing w:before="156" w:beforeLines="50" w:after="50"/>
              <w:rPr>
                <w:rFonts w:ascii="Arial" w:hAnsi="Arial" w:cs="Arial"/>
                <w:color w:val="auto"/>
                <w:highlight w:val="none"/>
              </w:rPr>
            </w:pPr>
          </w:p>
        </w:tc>
        <w:tc>
          <w:tcPr>
            <w:tcW w:w="1196" w:type="dxa"/>
            <w:noWrap w:val="0"/>
            <w:vAlign w:val="top"/>
          </w:tcPr>
          <w:p>
            <w:pPr>
              <w:snapToGrid w:val="0"/>
              <w:spacing w:before="156" w:beforeLines="50" w:after="50"/>
              <w:rPr>
                <w:rFonts w:ascii="Arial" w:hAnsi="Arial" w:cs="Arial"/>
                <w:color w:val="auto"/>
                <w:highlight w:val="none"/>
              </w:rPr>
            </w:pPr>
          </w:p>
        </w:tc>
        <w:tc>
          <w:tcPr>
            <w:tcW w:w="3251" w:type="dxa"/>
            <w:noWrap w:val="0"/>
            <w:vAlign w:val="top"/>
          </w:tcPr>
          <w:p>
            <w:pPr>
              <w:snapToGrid w:val="0"/>
              <w:spacing w:before="156" w:beforeLines="50" w:after="50"/>
              <w:rPr>
                <w:rFonts w:ascii="Arial" w:hAnsi="Arial" w:cs="Arial"/>
                <w:color w:val="auto"/>
                <w:highlight w:val="none"/>
              </w:rPr>
            </w:pPr>
          </w:p>
        </w:tc>
        <w:tc>
          <w:tcPr>
            <w:tcW w:w="1876" w:type="dxa"/>
            <w:noWrap w:val="0"/>
            <w:vAlign w:val="top"/>
          </w:tcPr>
          <w:p>
            <w:pPr>
              <w:snapToGrid w:val="0"/>
              <w:spacing w:before="156" w:beforeLines="50" w:after="5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88"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3</w:t>
            </w:r>
          </w:p>
        </w:tc>
        <w:tc>
          <w:tcPr>
            <w:tcW w:w="2066" w:type="dxa"/>
            <w:noWrap w:val="0"/>
            <w:vAlign w:val="top"/>
          </w:tcPr>
          <w:p>
            <w:pPr>
              <w:snapToGrid w:val="0"/>
              <w:spacing w:before="156" w:beforeLines="50" w:after="50"/>
              <w:rPr>
                <w:rFonts w:ascii="Arial" w:hAnsi="Arial" w:cs="Arial"/>
                <w:color w:val="auto"/>
                <w:highlight w:val="none"/>
              </w:rPr>
            </w:pPr>
          </w:p>
        </w:tc>
        <w:tc>
          <w:tcPr>
            <w:tcW w:w="1196" w:type="dxa"/>
            <w:noWrap w:val="0"/>
            <w:vAlign w:val="top"/>
          </w:tcPr>
          <w:p>
            <w:pPr>
              <w:snapToGrid w:val="0"/>
              <w:spacing w:before="156" w:beforeLines="50" w:after="50"/>
              <w:rPr>
                <w:rFonts w:ascii="Arial" w:hAnsi="Arial" w:cs="Arial"/>
                <w:color w:val="auto"/>
                <w:highlight w:val="none"/>
              </w:rPr>
            </w:pPr>
          </w:p>
        </w:tc>
        <w:tc>
          <w:tcPr>
            <w:tcW w:w="3251" w:type="dxa"/>
            <w:noWrap w:val="0"/>
            <w:vAlign w:val="top"/>
          </w:tcPr>
          <w:p>
            <w:pPr>
              <w:snapToGrid w:val="0"/>
              <w:spacing w:before="156" w:beforeLines="50" w:after="50"/>
              <w:rPr>
                <w:rFonts w:ascii="Arial" w:hAnsi="Arial" w:cs="Arial"/>
                <w:color w:val="auto"/>
                <w:highlight w:val="none"/>
              </w:rPr>
            </w:pPr>
          </w:p>
        </w:tc>
        <w:tc>
          <w:tcPr>
            <w:tcW w:w="1876" w:type="dxa"/>
            <w:noWrap w:val="0"/>
            <w:vAlign w:val="top"/>
          </w:tcPr>
          <w:p>
            <w:pPr>
              <w:snapToGrid w:val="0"/>
              <w:spacing w:before="156" w:beforeLines="50" w:after="5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988" w:type="dxa"/>
            <w:noWrap w:val="0"/>
            <w:vAlign w:val="top"/>
          </w:tcPr>
          <w:p>
            <w:pPr>
              <w:snapToGrid w:val="0"/>
              <w:spacing w:before="156" w:beforeLines="50" w:after="50"/>
              <w:jc w:val="center"/>
              <w:rPr>
                <w:rFonts w:ascii="Arial" w:hAnsi="Arial" w:cs="Arial"/>
                <w:color w:val="auto"/>
                <w:highlight w:val="none"/>
              </w:rPr>
            </w:pPr>
            <w:r>
              <w:rPr>
                <w:rFonts w:ascii="Arial" w:hAnsi="Arial" w:cs="Arial"/>
                <w:color w:val="auto"/>
                <w:highlight w:val="none"/>
              </w:rPr>
              <w:t>......</w:t>
            </w:r>
          </w:p>
        </w:tc>
        <w:tc>
          <w:tcPr>
            <w:tcW w:w="2066" w:type="dxa"/>
            <w:noWrap w:val="0"/>
            <w:vAlign w:val="top"/>
          </w:tcPr>
          <w:p>
            <w:pPr>
              <w:snapToGrid w:val="0"/>
              <w:spacing w:before="156" w:beforeLines="50" w:after="50"/>
              <w:rPr>
                <w:rFonts w:ascii="Arial" w:hAnsi="Arial" w:cs="Arial"/>
                <w:color w:val="auto"/>
                <w:highlight w:val="none"/>
              </w:rPr>
            </w:pPr>
          </w:p>
        </w:tc>
        <w:tc>
          <w:tcPr>
            <w:tcW w:w="1196" w:type="dxa"/>
            <w:noWrap w:val="0"/>
            <w:vAlign w:val="top"/>
          </w:tcPr>
          <w:p>
            <w:pPr>
              <w:snapToGrid w:val="0"/>
              <w:spacing w:before="156" w:beforeLines="50" w:after="50"/>
              <w:rPr>
                <w:rFonts w:ascii="Arial" w:hAnsi="Arial" w:cs="Arial"/>
                <w:color w:val="auto"/>
                <w:highlight w:val="none"/>
              </w:rPr>
            </w:pPr>
          </w:p>
        </w:tc>
        <w:tc>
          <w:tcPr>
            <w:tcW w:w="3251" w:type="dxa"/>
            <w:noWrap w:val="0"/>
            <w:vAlign w:val="top"/>
          </w:tcPr>
          <w:p>
            <w:pPr>
              <w:snapToGrid w:val="0"/>
              <w:spacing w:before="156" w:beforeLines="50" w:after="50"/>
              <w:rPr>
                <w:rFonts w:ascii="Arial" w:hAnsi="Arial" w:cs="Arial"/>
                <w:color w:val="auto"/>
                <w:highlight w:val="none"/>
              </w:rPr>
            </w:pPr>
          </w:p>
        </w:tc>
        <w:tc>
          <w:tcPr>
            <w:tcW w:w="1876" w:type="dxa"/>
            <w:noWrap w:val="0"/>
            <w:vAlign w:val="top"/>
          </w:tcPr>
          <w:p>
            <w:pPr>
              <w:snapToGrid w:val="0"/>
              <w:spacing w:before="156" w:beforeLines="50" w:after="50"/>
              <w:rPr>
                <w:rFonts w:ascii="Arial" w:hAnsi="Arial" w:cs="Arial"/>
                <w:color w:val="auto"/>
                <w:highlight w:val="none"/>
              </w:rPr>
            </w:pPr>
          </w:p>
        </w:tc>
      </w:tr>
    </w:tbl>
    <w:p>
      <w:pPr>
        <w:widowControl/>
        <w:jc w:val="left"/>
        <w:rPr>
          <w:rFonts w:ascii="Arial" w:hAnsi="Arial" w:cs="Arial"/>
          <w:color w:val="auto"/>
          <w:highlight w:val="none"/>
        </w:rPr>
      </w:pPr>
      <w:r>
        <w:rPr>
          <w:rFonts w:ascii="Arial" w:hAnsi="Arial" w:cs="Arial"/>
          <w:color w:val="auto"/>
          <w:kern w:val="0"/>
          <w:szCs w:val="21"/>
          <w:highlight w:val="none"/>
        </w:rPr>
        <w:t>注：</w:t>
      </w:r>
    </w:p>
    <w:p>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1.直接控股股东：是指其出资额占有限责任公司资本总额百分之五十以上或者其持有的股份占股份有限 </w:t>
      </w:r>
    </w:p>
    <w:p>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公司股份总额百分之五十以上的股东；出资额或者持有股份的比例虽然不足百分之五十，但依其出资额 </w:t>
      </w:r>
    </w:p>
    <w:p>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或者持有的股份所享有的表决权已足以对股东会、股东大会的决议产生重大影响的股东。 </w:t>
      </w:r>
    </w:p>
    <w:p>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2.本表所指的控股关系仅限于直接控股关系，不包括间接的控股关系。公司实际控制人与公司之间的关 </w:t>
      </w:r>
    </w:p>
    <w:p>
      <w:pPr>
        <w:widowControl/>
        <w:jc w:val="left"/>
        <w:rPr>
          <w:rFonts w:ascii="Arial" w:hAnsi="Arial" w:cs="Arial"/>
          <w:color w:val="auto"/>
          <w:szCs w:val="21"/>
          <w:highlight w:val="none"/>
        </w:rPr>
      </w:pPr>
      <w:r>
        <w:rPr>
          <w:rFonts w:ascii="Arial" w:hAnsi="Arial" w:cs="Arial"/>
          <w:color w:val="auto"/>
          <w:kern w:val="0"/>
          <w:szCs w:val="21"/>
          <w:highlight w:val="none"/>
        </w:rPr>
        <w:t xml:space="preserve">系不属于本表所指的直接控股关系。 </w:t>
      </w:r>
    </w:p>
    <w:p>
      <w:pPr>
        <w:snapToGrid w:val="0"/>
        <w:spacing w:before="156" w:beforeLines="50" w:line="288" w:lineRule="auto"/>
        <w:ind w:right="480"/>
        <w:rPr>
          <w:rFonts w:ascii="Arial" w:hAnsi="Arial" w:cs="Arial"/>
          <w:color w:val="auto"/>
          <w:szCs w:val="21"/>
          <w:highlight w:val="none"/>
          <w:u w:val="single"/>
        </w:rPr>
      </w:pPr>
      <w:bookmarkStart w:id="37" w:name="_Toc17511"/>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 xml:space="preserve">日期：  </w:t>
      </w:r>
      <w:r>
        <w:rPr>
          <w:rFonts w:ascii="Arial" w:hAnsi="Arial" w:cs="Arial"/>
          <w:color w:val="auto"/>
          <w:szCs w:val="21"/>
          <w:highlight w:val="none"/>
          <w:u w:val="single"/>
        </w:rPr>
        <w:t xml:space="preserve"> 年   月    日</w:t>
      </w:r>
    </w:p>
    <w:p>
      <w:pPr>
        <w:snapToGrid w:val="0"/>
        <w:spacing w:before="156" w:beforeLines="50" w:after="50" w:line="440" w:lineRule="exact"/>
        <w:jc w:val="center"/>
        <w:rPr>
          <w:rFonts w:ascii="Arial" w:hAnsi="Arial" w:cs="Arial"/>
          <w:b/>
          <w:bCs/>
          <w:color w:val="auto"/>
          <w:szCs w:val="21"/>
          <w:highlight w:val="none"/>
        </w:rPr>
      </w:pPr>
      <w:r>
        <w:rPr>
          <w:rFonts w:ascii="Arial" w:hAnsi="Arial" w:cs="Arial"/>
          <w:b/>
          <w:bCs/>
          <w:color w:val="auto"/>
          <w:szCs w:val="21"/>
          <w:highlight w:val="none"/>
        </w:rPr>
        <w:t>供应商直接管理关系信息表</w:t>
      </w:r>
      <w:bookmarkEnd w:id="37"/>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349"/>
        <w:gridCol w:w="370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1116"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序号</w:t>
            </w:r>
          </w:p>
        </w:tc>
        <w:tc>
          <w:tcPr>
            <w:tcW w:w="2349"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701"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132"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116"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1</w:t>
            </w:r>
          </w:p>
        </w:tc>
        <w:tc>
          <w:tcPr>
            <w:tcW w:w="2349" w:type="dxa"/>
            <w:noWrap w:val="0"/>
            <w:vAlign w:val="center"/>
          </w:tcPr>
          <w:p>
            <w:pPr>
              <w:snapToGrid w:val="0"/>
              <w:jc w:val="center"/>
              <w:rPr>
                <w:rFonts w:ascii="Arial" w:hAnsi="Arial" w:cs="Arial"/>
                <w:color w:val="auto"/>
                <w:szCs w:val="21"/>
                <w:highlight w:val="none"/>
              </w:rPr>
            </w:pPr>
          </w:p>
        </w:tc>
        <w:tc>
          <w:tcPr>
            <w:tcW w:w="3701" w:type="dxa"/>
            <w:noWrap w:val="0"/>
            <w:vAlign w:val="center"/>
          </w:tcPr>
          <w:p>
            <w:pPr>
              <w:snapToGrid w:val="0"/>
              <w:jc w:val="center"/>
              <w:rPr>
                <w:rFonts w:ascii="Arial" w:hAnsi="Arial" w:cs="Arial"/>
                <w:color w:val="auto"/>
                <w:szCs w:val="21"/>
                <w:highlight w:val="none"/>
              </w:rPr>
            </w:pPr>
          </w:p>
        </w:tc>
        <w:tc>
          <w:tcPr>
            <w:tcW w:w="2132" w:type="dxa"/>
            <w:noWrap w:val="0"/>
            <w:vAlign w:val="center"/>
          </w:tcPr>
          <w:p>
            <w:pPr>
              <w:snapToGrid w:val="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116"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2</w:t>
            </w:r>
          </w:p>
        </w:tc>
        <w:tc>
          <w:tcPr>
            <w:tcW w:w="2349" w:type="dxa"/>
            <w:noWrap w:val="0"/>
            <w:vAlign w:val="center"/>
          </w:tcPr>
          <w:p>
            <w:pPr>
              <w:snapToGrid w:val="0"/>
              <w:jc w:val="center"/>
              <w:rPr>
                <w:rFonts w:ascii="Arial" w:hAnsi="Arial" w:cs="Arial"/>
                <w:color w:val="auto"/>
                <w:szCs w:val="21"/>
                <w:highlight w:val="none"/>
              </w:rPr>
            </w:pPr>
          </w:p>
        </w:tc>
        <w:tc>
          <w:tcPr>
            <w:tcW w:w="3701" w:type="dxa"/>
            <w:noWrap w:val="0"/>
            <w:vAlign w:val="center"/>
          </w:tcPr>
          <w:p>
            <w:pPr>
              <w:snapToGrid w:val="0"/>
              <w:jc w:val="center"/>
              <w:rPr>
                <w:rFonts w:ascii="Arial" w:hAnsi="Arial" w:cs="Arial"/>
                <w:color w:val="auto"/>
                <w:szCs w:val="21"/>
                <w:highlight w:val="none"/>
              </w:rPr>
            </w:pPr>
          </w:p>
        </w:tc>
        <w:tc>
          <w:tcPr>
            <w:tcW w:w="2132" w:type="dxa"/>
            <w:noWrap w:val="0"/>
            <w:vAlign w:val="center"/>
          </w:tcPr>
          <w:p>
            <w:pPr>
              <w:snapToGrid w:val="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116" w:type="dxa"/>
            <w:noWrap w:val="0"/>
            <w:vAlign w:val="center"/>
          </w:tcPr>
          <w:p>
            <w:pPr>
              <w:snapToGrid w:val="0"/>
              <w:jc w:val="center"/>
              <w:rPr>
                <w:rFonts w:ascii="Arial" w:hAnsi="Arial" w:cs="Arial"/>
                <w:color w:val="auto"/>
                <w:szCs w:val="21"/>
                <w:highlight w:val="none"/>
              </w:rPr>
            </w:pPr>
            <w:r>
              <w:rPr>
                <w:rFonts w:ascii="Arial" w:hAnsi="Arial" w:cs="Arial"/>
                <w:color w:val="auto"/>
                <w:szCs w:val="21"/>
                <w:highlight w:val="none"/>
              </w:rPr>
              <w:t>3</w:t>
            </w:r>
          </w:p>
        </w:tc>
        <w:tc>
          <w:tcPr>
            <w:tcW w:w="2349" w:type="dxa"/>
            <w:noWrap w:val="0"/>
            <w:vAlign w:val="center"/>
          </w:tcPr>
          <w:p>
            <w:pPr>
              <w:snapToGrid w:val="0"/>
              <w:jc w:val="center"/>
              <w:rPr>
                <w:rFonts w:ascii="Arial" w:hAnsi="Arial" w:cs="Arial"/>
                <w:color w:val="auto"/>
                <w:szCs w:val="21"/>
                <w:highlight w:val="none"/>
              </w:rPr>
            </w:pPr>
          </w:p>
        </w:tc>
        <w:tc>
          <w:tcPr>
            <w:tcW w:w="3701" w:type="dxa"/>
            <w:noWrap w:val="0"/>
            <w:vAlign w:val="center"/>
          </w:tcPr>
          <w:p>
            <w:pPr>
              <w:snapToGrid w:val="0"/>
              <w:jc w:val="center"/>
              <w:rPr>
                <w:rFonts w:ascii="Arial" w:hAnsi="Arial" w:cs="Arial"/>
                <w:color w:val="auto"/>
                <w:szCs w:val="21"/>
                <w:highlight w:val="none"/>
              </w:rPr>
            </w:pPr>
          </w:p>
        </w:tc>
        <w:tc>
          <w:tcPr>
            <w:tcW w:w="2132" w:type="dxa"/>
            <w:noWrap w:val="0"/>
            <w:vAlign w:val="center"/>
          </w:tcPr>
          <w:p>
            <w:pPr>
              <w:snapToGrid w:val="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1116" w:type="dxa"/>
            <w:noWrap w:val="0"/>
            <w:vAlign w:val="top"/>
          </w:tcPr>
          <w:p>
            <w:pPr>
              <w:snapToGrid w:val="0"/>
              <w:spacing w:before="156" w:beforeLines="50" w:after="50"/>
              <w:jc w:val="center"/>
              <w:rPr>
                <w:rFonts w:ascii="Arial" w:hAnsi="Arial" w:cs="Arial"/>
                <w:color w:val="auto"/>
                <w:szCs w:val="21"/>
                <w:highlight w:val="none"/>
              </w:rPr>
            </w:pPr>
            <w:r>
              <w:rPr>
                <w:rFonts w:ascii="Arial" w:hAnsi="Arial" w:cs="Arial"/>
                <w:color w:val="auto"/>
                <w:szCs w:val="21"/>
                <w:highlight w:val="none"/>
              </w:rPr>
              <w:t>......</w:t>
            </w:r>
          </w:p>
        </w:tc>
        <w:tc>
          <w:tcPr>
            <w:tcW w:w="2349" w:type="dxa"/>
            <w:noWrap w:val="0"/>
            <w:vAlign w:val="top"/>
          </w:tcPr>
          <w:p>
            <w:pPr>
              <w:snapToGrid w:val="0"/>
              <w:spacing w:before="156" w:beforeLines="50" w:after="50"/>
              <w:rPr>
                <w:rFonts w:ascii="Arial" w:hAnsi="Arial" w:cs="Arial"/>
                <w:color w:val="auto"/>
                <w:szCs w:val="21"/>
                <w:highlight w:val="none"/>
              </w:rPr>
            </w:pPr>
          </w:p>
        </w:tc>
        <w:tc>
          <w:tcPr>
            <w:tcW w:w="3701" w:type="dxa"/>
            <w:noWrap w:val="0"/>
            <w:vAlign w:val="top"/>
          </w:tcPr>
          <w:p>
            <w:pPr>
              <w:snapToGrid w:val="0"/>
              <w:spacing w:before="156" w:beforeLines="50" w:after="50"/>
              <w:rPr>
                <w:rFonts w:ascii="Arial" w:hAnsi="Arial" w:cs="Arial"/>
                <w:color w:val="auto"/>
                <w:szCs w:val="21"/>
                <w:highlight w:val="none"/>
              </w:rPr>
            </w:pPr>
          </w:p>
        </w:tc>
        <w:tc>
          <w:tcPr>
            <w:tcW w:w="2132" w:type="dxa"/>
            <w:noWrap w:val="0"/>
            <w:vAlign w:val="top"/>
          </w:tcPr>
          <w:p>
            <w:pPr>
              <w:snapToGrid w:val="0"/>
              <w:spacing w:before="156" w:beforeLines="50" w:after="50"/>
              <w:rPr>
                <w:rFonts w:ascii="Arial" w:hAnsi="Arial" w:cs="Arial"/>
                <w:color w:val="auto"/>
                <w:szCs w:val="21"/>
                <w:highlight w:val="none"/>
              </w:rPr>
            </w:pPr>
          </w:p>
        </w:tc>
      </w:tr>
    </w:tbl>
    <w:p>
      <w:pPr>
        <w:widowControl/>
        <w:jc w:val="left"/>
        <w:rPr>
          <w:rFonts w:ascii="Arial" w:hAnsi="Arial" w:cs="Arial"/>
          <w:color w:val="auto"/>
          <w:kern w:val="0"/>
          <w:szCs w:val="21"/>
          <w:highlight w:val="none"/>
        </w:rPr>
      </w:pPr>
      <w:r>
        <w:rPr>
          <w:rFonts w:ascii="Arial" w:hAnsi="Arial" w:cs="Arial"/>
          <w:color w:val="auto"/>
          <w:kern w:val="0"/>
          <w:szCs w:val="21"/>
          <w:highlight w:val="none"/>
        </w:rPr>
        <w:t>注：1.管理关系：是指不具有出资持股关系的其他单位之间存在的管理与被管理关系，如一些上下级关系的事业单位和团体组织。</w:t>
      </w:r>
    </w:p>
    <w:p>
      <w:pPr>
        <w:widowControl/>
        <w:jc w:val="left"/>
        <w:rPr>
          <w:rFonts w:ascii="Arial" w:hAnsi="Arial" w:cs="Arial"/>
          <w:color w:val="auto"/>
          <w:kern w:val="0"/>
          <w:szCs w:val="21"/>
          <w:highlight w:val="none"/>
        </w:rPr>
      </w:pPr>
      <w:r>
        <w:rPr>
          <w:rFonts w:ascii="Arial" w:hAnsi="Arial" w:cs="Arial"/>
          <w:color w:val="auto"/>
          <w:kern w:val="0"/>
          <w:szCs w:val="21"/>
          <w:highlight w:val="none"/>
        </w:rPr>
        <w:t>2.本表所指的管理关系仅限于直接管理关系，不包括间接的管理关系。</w:t>
      </w:r>
    </w:p>
    <w:p>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 xml:space="preserve">日期：  </w:t>
      </w:r>
      <w:r>
        <w:rPr>
          <w:rFonts w:ascii="Arial" w:hAnsi="Arial" w:cs="Arial"/>
          <w:color w:val="auto"/>
          <w:szCs w:val="21"/>
          <w:highlight w:val="none"/>
          <w:u w:val="single"/>
        </w:rPr>
        <w:t xml:space="preserve"> 年   月    日</w:t>
      </w: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br w:type="page"/>
      </w:r>
      <w:r>
        <w:rPr>
          <w:rFonts w:ascii="Arial" w:hAnsi="Arial" w:cs="Arial"/>
          <w:b/>
          <w:bCs/>
          <w:color w:val="auto"/>
          <w:highlight w:val="none"/>
        </w:rPr>
        <w:t>6.竞标声明（格式后附）；（必须提供，否则响应文件按无效响应处理）</w:t>
      </w:r>
    </w:p>
    <w:p>
      <w:pPr>
        <w:snapToGrid w:val="0"/>
        <w:spacing w:line="288" w:lineRule="auto"/>
        <w:jc w:val="center"/>
        <w:rPr>
          <w:rFonts w:ascii="Arial" w:hAnsi="Arial" w:cs="Arial"/>
          <w:color w:val="auto"/>
          <w:szCs w:val="21"/>
          <w:highlight w:val="none"/>
        </w:rPr>
      </w:pPr>
      <w:r>
        <w:rPr>
          <w:rFonts w:ascii="Arial" w:hAnsi="Arial" w:cs="Arial"/>
          <w:b/>
          <w:color w:val="auto"/>
          <w:szCs w:val="21"/>
          <w:highlight w:val="none"/>
        </w:rPr>
        <w:t>竞标声明</w:t>
      </w:r>
    </w:p>
    <w:p>
      <w:pPr>
        <w:snapToGrid w:val="0"/>
        <w:spacing w:before="156" w:beforeLines="50" w:after="50" w:line="288" w:lineRule="auto"/>
        <w:contextualSpacing/>
        <w:rPr>
          <w:rFonts w:ascii="Arial" w:hAnsi="Arial" w:cs="Arial"/>
          <w:color w:val="auto"/>
          <w:szCs w:val="21"/>
          <w:highlight w:val="none"/>
        </w:rPr>
      </w:pPr>
      <w:r>
        <w:rPr>
          <w:rFonts w:ascii="Arial" w:hAnsi="Arial" w:cs="Arial"/>
          <w:color w:val="auto"/>
          <w:szCs w:val="21"/>
          <w:highlight w:val="none"/>
        </w:rPr>
        <w:t>致：</w:t>
      </w:r>
      <w:r>
        <w:rPr>
          <w:rFonts w:ascii="Arial" w:hAnsi="Arial" w:cs="Arial"/>
          <w:color w:val="auto"/>
          <w:szCs w:val="21"/>
          <w:highlight w:val="none"/>
          <w:u w:val="single"/>
        </w:rPr>
        <w:t>（采购人）</w:t>
      </w:r>
      <w:r>
        <w:rPr>
          <w:rFonts w:ascii="Arial" w:hAnsi="Arial" w:cs="Arial"/>
          <w:color w:val="auto"/>
          <w:szCs w:val="21"/>
          <w:highlight w:val="none"/>
        </w:rPr>
        <w:t>：</w:t>
      </w:r>
    </w:p>
    <w:p>
      <w:pPr>
        <w:snapToGrid w:val="0"/>
        <w:spacing w:before="156" w:beforeLines="50" w:after="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u w:val="single"/>
        </w:rPr>
        <w:t>（供应商名称）</w:t>
      </w:r>
      <w:r>
        <w:rPr>
          <w:rFonts w:ascii="Arial" w:hAnsi="Arial" w:cs="Arial"/>
          <w:color w:val="auto"/>
          <w:szCs w:val="21"/>
          <w:highlight w:val="none"/>
        </w:rPr>
        <w:t>系中华人民共和国合法供应商，经营地址</w:t>
      </w:r>
      <w:r>
        <w:rPr>
          <w:rFonts w:ascii="Arial" w:hAnsi="Arial" w:cs="Arial"/>
          <w:color w:val="auto"/>
          <w:szCs w:val="21"/>
          <w:highlight w:val="none"/>
          <w:u w:val="single"/>
        </w:rPr>
        <w:t xml:space="preserve">                 </w:t>
      </w:r>
      <w:r>
        <w:rPr>
          <w:rFonts w:ascii="Arial" w:hAnsi="Arial" w:cs="Arial"/>
          <w:color w:val="auto"/>
          <w:szCs w:val="21"/>
          <w:highlight w:val="none"/>
        </w:rPr>
        <w:t>。</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我方愿意参加贵方组织的</w:t>
      </w:r>
      <w:r>
        <w:rPr>
          <w:rFonts w:ascii="Arial" w:hAnsi="Arial" w:cs="Arial"/>
          <w:color w:val="auto"/>
          <w:szCs w:val="21"/>
          <w:highlight w:val="none"/>
          <w:u w:val="single"/>
        </w:rPr>
        <w:t>（项目名称）</w:t>
      </w:r>
      <w:r>
        <w:rPr>
          <w:rFonts w:ascii="Arial" w:hAnsi="Arial" w:cs="Arial"/>
          <w:color w:val="auto"/>
          <w:szCs w:val="21"/>
          <w:highlight w:val="none"/>
        </w:rPr>
        <w:t>项目的竞标，为便于贵方公正、择优地确定成交供应商及其竞标产品和服务，我方就本次竞标有关事项郑重声明如下：</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1.我方向贵方提交的所有响应文件、资料都是准确的和真实的。</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3.在此，我方宣布同意如下：</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（1）将按磋商文件的约定履行合同责任和义务；</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（2）已详细审查全部磋商文件，包括澄清或者更正公告（如有）；</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（3）同意提供按照贵方可能要求的与磋商有关的一切数据或者资料；</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（4）响应磋商文件规定的响应有效期。</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4.我方承诺符合《中华人民共和国政府采购法》第二十二条规定：</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（1）具有独立承担民事责任的能力；</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（2）具有良好的商业信誉和健全的财务会计制度；</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（3）具有履行合同所必需的设备和专业技术能力；</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（4）有依法缴纳税收和社会保障资金的良好记录；</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（5）参加政府采购活动前三年内，在经营活动中没有重大违法记录；</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（6）法律、行政法规规定的其他条件。</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napToGrid w:val="0"/>
        <w:spacing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□我方本次响应文件</w:t>
      </w:r>
      <w:r>
        <w:rPr>
          <w:rFonts w:ascii="Arial" w:hAnsi="Arial" w:cs="Arial"/>
          <w:color w:val="auto"/>
          <w:kern w:val="0"/>
          <w:szCs w:val="21"/>
          <w:highlight w:val="none"/>
        </w:rPr>
        <w:t>内容中</w:t>
      </w:r>
      <w:r>
        <w:rPr>
          <w:rFonts w:ascii="Arial" w:hAnsi="Arial" w:cs="Arial"/>
          <w:color w:val="auto"/>
          <w:szCs w:val="21"/>
          <w:highlight w:val="none"/>
        </w:rPr>
        <w:t>未</w:t>
      </w:r>
      <w:r>
        <w:rPr>
          <w:rFonts w:ascii="Arial" w:hAnsi="Arial" w:cs="Arial"/>
          <w:color w:val="auto"/>
          <w:kern w:val="0"/>
          <w:szCs w:val="21"/>
          <w:highlight w:val="none"/>
        </w:rPr>
        <w:t>涉及商业秘密；</w:t>
      </w:r>
    </w:p>
    <w:p>
      <w:pPr>
        <w:snapToGrid w:val="0"/>
        <w:spacing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□我方本次响应文件</w:t>
      </w:r>
      <w:r>
        <w:rPr>
          <w:rFonts w:ascii="Arial" w:hAnsi="Arial" w:cs="Arial"/>
          <w:color w:val="auto"/>
          <w:kern w:val="0"/>
          <w:szCs w:val="21"/>
          <w:highlight w:val="none"/>
        </w:rPr>
        <w:t>涉及商业秘密的内容有：</w:t>
      </w:r>
      <w:r>
        <w:rPr>
          <w:rFonts w:ascii="Arial" w:hAnsi="Arial" w:cs="Arial"/>
          <w:color w:val="auto"/>
          <w:kern w:val="0"/>
          <w:szCs w:val="21"/>
          <w:highlight w:val="none"/>
          <w:u w:val="single"/>
        </w:rPr>
        <w:t xml:space="preserve">                         </w:t>
      </w:r>
      <w:r>
        <w:rPr>
          <w:rFonts w:ascii="Arial" w:hAnsi="Arial" w:cs="Arial"/>
          <w:color w:val="auto"/>
          <w:kern w:val="0"/>
          <w:szCs w:val="21"/>
          <w:highlight w:val="none"/>
        </w:rPr>
        <w:t>；</w:t>
      </w:r>
    </w:p>
    <w:p>
      <w:pPr>
        <w:pStyle w:val="21"/>
        <w:snapToGrid w:val="0"/>
        <w:spacing w:line="288" w:lineRule="auto"/>
        <w:ind w:firstLine="420" w:firstLineChars="200"/>
        <w:contextualSpacing/>
        <w:rPr>
          <w:rFonts w:ascii="Arial" w:hAnsi="Arial" w:cs="Arial"/>
          <w:color w:val="auto"/>
          <w:sz w:val="21"/>
          <w:highlight w:val="none"/>
          <w:u w:val="single"/>
        </w:rPr>
      </w:pPr>
      <w:r>
        <w:rPr>
          <w:rFonts w:ascii="Arial" w:hAnsi="Arial" w:cs="Arial"/>
          <w:color w:val="auto"/>
          <w:sz w:val="21"/>
          <w:highlight w:val="none"/>
        </w:rPr>
        <w:t>7.与本磋商有关的一切正式往来信函请寄：</w:t>
      </w:r>
      <w:r>
        <w:rPr>
          <w:rFonts w:ascii="Arial" w:hAnsi="Arial" w:cs="Arial"/>
          <w:color w:val="auto"/>
          <w:sz w:val="21"/>
          <w:highlight w:val="none"/>
          <w:u w:val="single"/>
        </w:rPr>
        <w:t xml:space="preserve">                  </w:t>
      </w:r>
      <w:r>
        <w:rPr>
          <w:rFonts w:ascii="Arial" w:hAnsi="Arial" w:cs="Arial"/>
          <w:color w:val="auto"/>
          <w:sz w:val="21"/>
          <w:highlight w:val="none"/>
        </w:rPr>
        <w:t>邮政编号：</w:t>
      </w:r>
      <w:r>
        <w:rPr>
          <w:rFonts w:ascii="Arial" w:hAnsi="Arial" w:cs="Arial"/>
          <w:color w:val="auto"/>
          <w:sz w:val="21"/>
          <w:highlight w:val="none"/>
          <w:u w:val="single"/>
        </w:rPr>
        <w:t xml:space="preserve">        </w:t>
      </w:r>
    </w:p>
    <w:p>
      <w:pPr>
        <w:pStyle w:val="21"/>
        <w:snapToGrid w:val="0"/>
        <w:spacing w:line="288" w:lineRule="auto"/>
        <w:ind w:firstLine="420" w:firstLineChars="200"/>
        <w:contextualSpacing/>
        <w:rPr>
          <w:rFonts w:ascii="Arial" w:hAnsi="Arial" w:cs="Arial"/>
          <w:color w:val="auto"/>
          <w:sz w:val="21"/>
          <w:highlight w:val="none"/>
        </w:rPr>
      </w:pPr>
      <w:r>
        <w:rPr>
          <w:rFonts w:ascii="Arial" w:hAnsi="Arial" w:cs="Arial"/>
          <w:color w:val="auto"/>
          <w:sz w:val="21"/>
          <w:highlight w:val="none"/>
        </w:rPr>
        <w:t>电话/传真：</w:t>
      </w:r>
      <w:r>
        <w:rPr>
          <w:rFonts w:ascii="Arial" w:hAnsi="Arial" w:cs="Arial"/>
          <w:color w:val="auto"/>
          <w:sz w:val="21"/>
          <w:highlight w:val="none"/>
          <w:u w:val="single"/>
        </w:rPr>
        <w:t xml:space="preserve">                        </w:t>
      </w:r>
      <w:r>
        <w:rPr>
          <w:rFonts w:ascii="Arial" w:hAnsi="Arial" w:cs="Arial"/>
          <w:color w:val="auto"/>
          <w:sz w:val="21"/>
          <w:highlight w:val="none"/>
        </w:rPr>
        <w:t xml:space="preserve"> 电子函件：</w:t>
      </w:r>
      <w:r>
        <w:rPr>
          <w:rFonts w:ascii="Arial" w:hAnsi="Arial" w:cs="Arial"/>
          <w:color w:val="auto"/>
          <w:sz w:val="21"/>
          <w:highlight w:val="none"/>
          <w:u w:val="single"/>
        </w:rPr>
        <w:t xml:space="preserve">                            </w:t>
      </w:r>
      <w:r>
        <w:rPr>
          <w:rFonts w:ascii="Arial" w:hAnsi="Arial" w:cs="Arial"/>
          <w:color w:val="auto"/>
          <w:sz w:val="21"/>
          <w:highlight w:val="none"/>
        </w:rPr>
        <w:t xml:space="preserve">    </w:t>
      </w:r>
    </w:p>
    <w:p>
      <w:pPr>
        <w:pStyle w:val="19"/>
        <w:tabs>
          <w:tab w:val="left" w:pos="939"/>
        </w:tabs>
        <w:snapToGrid w:val="0"/>
        <w:spacing w:line="288" w:lineRule="auto"/>
        <w:ind w:left="141" w:leftChars="67" w:firstLine="315" w:firstLineChars="150"/>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帐号：</w:t>
      </w:r>
      <w:r>
        <w:rPr>
          <w:rFonts w:ascii="Arial" w:hAnsi="Arial" w:cs="Arial"/>
          <w:color w:val="auto"/>
          <w:szCs w:val="21"/>
          <w:highlight w:val="none"/>
          <w:u w:val="single"/>
        </w:rPr>
        <w:t xml:space="preserve">                               </w:t>
      </w:r>
    </w:p>
    <w:p>
      <w:pPr>
        <w:pStyle w:val="19"/>
        <w:tabs>
          <w:tab w:val="left" w:pos="939"/>
        </w:tabs>
        <w:spacing w:line="288" w:lineRule="auto"/>
        <w:ind w:left="0" w:leftChars="0" w:firstLine="480" w:firstLineChars="200"/>
        <w:rPr>
          <w:rFonts w:ascii="Arial" w:hAnsi="Arial" w:cs="Arial"/>
          <w:color w:val="auto"/>
          <w:sz w:val="24"/>
          <w:highlight w:val="none"/>
        </w:rPr>
      </w:pPr>
      <w:r>
        <w:rPr>
          <w:rFonts w:ascii="Arial" w:hAnsi="Arial" w:cs="Arial"/>
          <w:color w:val="auto"/>
          <w:sz w:val="24"/>
          <w:highlight w:val="none"/>
        </w:rPr>
        <w:t>8.以上事项如有虚假或者隐瞒，我方愿意承担一切后果，并不再寻求任何旨在减轻或者免除法律责任的辩解。</w:t>
      </w:r>
    </w:p>
    <w:p>
      <w:pPr>
        <w:pStyle w:val="19"/>
        <w:tabs>
          <w:tab w:val="left" w:pos="939"/>
        </w:tabs>
        <w:spacing w:line="288" w:lineRule="auto"/>
        <w:ind w:left="141" w:leftChars="67" w:firstLine="360" w:firstLineChars="150"/>
        <w:rPr>
          <w:rFonts w:ascii="Arial" w:hAnsi="Arial" w:cs="Arial"/>
          <w:color w:val="auto"/>
          <w:sz w:val="24"/>
          <w:highlight w:val="none"/>
        </w:rPr>
      </w:pPr>
      <w:r>
        <w:rPr>
          <w:rFonts w:ascii="Arial" w:hAnsi="Arial" w:cs="Arial"/>
          <w:color w:val="auto"/>
          <w:sz w:val="24"/>
          <w:highlight w:val="none"/>
        </w:rPr>
        <w:t>特此承诺。</w:t>
      </w:r>
    </w:p>
    <w:p>
      <w:pPr>
        <w:snapToGrid w:val="0"/>
        <w:spacing w:line="288" w:lineRule="auto"/>
        <w:ind w:right="482"/>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line="288" w:lineRule="auto"/>
        <w:ind w:right="482"/>
        <w:jc w:val="left"/>
        <w:rPr>
          <w:rFonts w:ascii="Arial" w:hAnsi="Arial" w:cs="Arial"/>
          <w:color w:val="auto"/>
          <w:szCs w:val="21"/>
          <w:highlight w:val="non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pPr>
        <w:pStyle w:val="13"/>
        <w:spacing w:line="288" w:lineRule="auto"/>
        <w:ind w:firstLine="420" w:firstLineChars="200"/>
        <w:rPr>
          <w:rFonts w:ascii="Arial" w:hAnsi="Arial" w:cs="Arial"/>
          <w:b/>
          <w:bCs/>
          <w:color w:val="auto"/>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年   月    日</w:t>
      </w:r>
      <w:r>
        <w:rPr>
          <w:rFonts w:ascii="Arial" w:hAnsi="Arial" w:cs="Arial"/>
          <w:color w:val="auto"/>
          <w:sz w:val="24"/>
          <w:highlight w:val="none"/>
        </w:rPr>
        <w:br w:type="page"/>
      </w:r>
      <w:r>
        <w:rPr>
          <w:rFonts w:hint="eastAsia" w:ascii="Arial" w:hAnsi="Arial" w:cs="Arial"/>
          <w:b/>
          <w:bCs/>
          <w:color w:val="auto"/>
          <w:highlight w:val="none"/>
        </w:rPr>
        <w:t>7</w:t>
      </w:r>
      <w:r>
        <w:rPr>
          <w:rFonts w:ascii="Arial" w:hAnsi="Arial" w:cs="Arial"/>
          <w:b/>
          <w:bCs/>
          <w:color w:val="auto"/>
          <w:highlight w:val="none"/>
        </w:rPr>
        <w:t>.中小企业声明函（必须提供，否则响应文件按无效响应处理）</w:t>
      </w:r>
    </w:p>
    <w:p>
      <w:pPr>
        <w:pStyle w:val="13"/>
        <w:spacing w:line="288" w:lineRule="auto"/>
        <w:ind w:firstLine="422" w:firstLineChars="200"/>
        <w:rPr>
          <w:rFonts w:ascii="Arial" w:hAnsi="Arial" w:cs="Arial"/>
          <w:b/>
          <w:bCs/>
          <w:color w:val="auto"/>
          <w:highlight w:val="none"/>
        </w:rPr>
      </w:pPr>
    </w:p>
    <w:p>
      <w:pPr>
        <w:rPr>
          <w:rFonts w:ascii="Arial" w:hAnsi="Arial" w:cs="Arial"/>
          <w:color w:val="auto"/>
          <w:szCs w:val="21"/>
          <w:highlight w:val="none"/>
        </w:rPr>
      </w:pPr>
      <w:r>
        <w:rPr>
          <w:rFonts w:hint="eastAsia" w:ascii="Arial" w:hAnsi="Arial" w:cs="Arial"/>
          <w:color w:val="auto"/>
          <w:szCs w:val="21"/>
          <w:highlight w:val="none"/>
        </w:rPr>
        <w:t>7</w:t>
      </w:r>
      <w:r>
        <w:rPr>
          <w:rFonts w:ascii="Arial" w:hAnsi="Arial" w:cs="Arial"/>
          <w:color w:val="auto"/>
          <w:szCs w:val="21"/>
          <w:highlight w:val="none"/>
        </w:rPr>
        <w:t>.1</w:t>
      </w:r>
      <w:r>
        <w:rPr>
          <w:rFonts w:ascii="Arial" w:hAnsi="Arial" w:cs="Arial"/>
          <w:bCs/>
          <w:color w:val="auto"/>
          <w:szCs w:val="21"/>
          <w:highlight w:val="none"/>
        </w:rPr>
        <w:t>中小企业声明函</w:t>
      </w:r>
      <w:r>
        <w:rPr>
          <w:rFonts w:ascii="Arial" w:hAnsi="Arial" w:cs="Arial"/>
          <w:color w:val="auto"/>
          <w:szCs w:val="21"/>
          <w:highlight w:val="none"/>
        </w:rPr>
        <w:t>。</w:t>
      </w:r>
    </w:p>
    <w:p>
      <w:pPr>
        <w:spacing w:line="360" w:lineRule="auto"/>
        <w:ind w:firstLine="3584" w:firstLineChars="1700"/>
        <w:rPr>
          <w:rFonts w:ascii="Arial" w:hAnsi="Arial" w:cs="Arial"/>
          <w:b/>
          <w:color w:val="auto"/>
          <w:szCs w:val="21"/>
          <w:highlight w:val="none"/>
        </w:rPr>
      </w:pPr>
      <w:bookmarkStart w:id="38" w:name="_Hlk60649458"/>
    </w:p>
    <w:bookmarkEnd w:id="38"/>
    <w:p>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中小企业声明函（服务）</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采购活动，服务全部由符合政策要求的中小企业承接。相关企业（含联合体中的中小企业、签订分包意向协议的中小企业） 的具体情况如下：</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（采购文件中明确的所属行业）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（采购文件中明确的所属行业）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企业名称（电子签章）：  日期：</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w:t>
      </w:r>
      <w:r>
        <w:rPr>
          <w:rFonts w:hint="eastAsia" w:ascii="Arial" w:hAnsi="Arial" w:cs="Arial"/>
          <w:bCs/>
          <w:color w:val="auto"/>
          <w:szCs w:val="21"/>
          <w:highlight w:val="none"/>
        </w:rPr>
        <w:t>三</w:t>
      </w:r>
      <w:r>
        <w:rPr>
          <w:rFonts w:ascii="Arial" w:hAnsi="Arial" w:cs="Arial"/>
          <w:bCs/>
          <w:color w:val="auto"/>
          <w:szCs w:val="21"/>
          <w:highlight w:val="none"/>
        </w:rPr>
        <w:t>章采购需求一览表中的名称填写，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（5）根据国际统计局《劳动工资统计报表制度》，从业人员数是指本单位工作，并取得工资活其他形式劳动报酬的人员数，是在岗职工、劳务派遣人员及其他从业人员之和。</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napToGrid w:val="0"/>
        <w:spacing w:before="50" w:after="156" w:afterLines="50"/>
        <w:jc w:val="left"/>
        <w:rPr>
          <w:rFonts w:ascii="Arial" w:hAnsi="Arial" w:cs="Arial"/>
          <w:color w:val="auto"/>
          <w:szCs w:val="21"/>
          <w:highlight w:val="none"/>
        </w:rPr>
      </w:pPr>
    </w:p>
    <w:p>
      <w:pPr>
        <w:snapToGrid w:val="0"/>
        <w:spacing w:before="50" w:after="156" w:afterLines="50"/>
        <w:jc w:val="left"/>
        <w:rPr>
          <w:rFonts w:ascii="Arial" w:hAnsi="Arial" w:cs="Arial"/>
          <w:color w:val="auto"/>
          <w:szCs w:val="21"/>
          <w:highlight w:val="none"/>
        </w:rPr>
      </w:pPr>
      <w:r>
        <w:rPr>
          <w:rFonts w:hint="eastAsia" w:ascii="Arial" w:hAnsi="Arial" w:cs="Arial"/>
          <w:color w:val="auto"/>
          <w:szCs w:val="21"/>
          <w:highlight w:val="none"/>
        </w:rPr>
        <w:t>7</w:t>
      </w:r>
      <w:r>
        <w:rPr>
          <w:rFonts w:ascii="Arial" w:hAnsi="Arial" w:cs="Arial"/>
          <w:color w:val="auto"/>
          <w:szCs w:val="21"/>
          <w:highlight w:val="none"/>
        </w:rPr>
        <w:t>.2监狱企业须提供最新一期《XX省监狱企业产品目录》或其他监狱企业证明材料。（非监狱企业无需提供）</w:t>
      </w:r>
    </w:p>
    <w:p>
      <w:pPr>
        <w:snapToGrid w:val="0"/>
        <w:spacing w:before="50" w:after="156" w:afterLines="50"/>
        <w:jc w:val="left"/>
        <w:rPr>
          <w:rFonts w:ascii="Arial" w:hAnsi="Arial" w:cs="Arial"/>
          <w:color w:val="auto"/>
          <w:szCs w:val="21"/>
          <w:highlight w:val="none"/>
        </w:rPr>
      </w:pPr>
    </w:p>
    <w:p>
      <w:pPr>
        <w:snapToGrid w:val="0"/>
        <w:spacing w:before="50" w:after="156" w:afterLines="50"/>
        <w:jc w:val="left"/>
        <w:rPr>
          <w:rFonts w:ascii="Arial" w:hAnsi="Arial" w:cs="Arial"/>
          <w:color w:val="auto"/>
          <w:highlight w:val="none"/>
        </w:rPr>
      </w:pPr>
      <w:r>
        <w:rPr>
          <w:rFonts w:hint="eastAsia" w:ascii="Arial" w:hAnsi="Arial" w:cs="Arial"/>
          <w:color w:val="auto"/>
          <w:szCs w:val="21"/>
          <w:highlight w:val="none"/>
        </w:rPr>
        <w:t>7</w:t>
      </w:r>
      <w:r>
        <w:rPr>
          <w:rFonts w:ascii="Arial" w:hAnsi="Arial" w:cs="Arial"/>
          <w:color w:val="auto"/>
          <w:szCs w:val="21"/>
          <w:highlight w:val="none"/>
        </w:rPr>
        <w:t>.3</w:t>
      </w:r>
      <w:bookmarkStart w:id="39"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39"/>
    <w:p>
      <w:pPr>
        <w:spacing w:line="360" w:lineRule="auto"/>
        <w:jc w:val="center"/>
        <w:rPr>
          <w:rFonts w:ascii="Arial" w:hAnsi="Arial" w:cs="Arial"/>
          <w:b/>
          <w:color w:val="auto"/>
          <w:szCs w:val="21"/>
          <w:highlight w:val="none"/>
        </w:rPr>
      </w:pPr>
      <w:bookmarkStart w:id="40" w:name="OLE_LINK13"/>
      <w:bookmarkStart w:id="41" w:name="OLE_LINK14"/>
      <w:r>
        <w:rPr>
          <w:rFonts w:ascii="Arial" w:hAnsi="Arial" w:cs="Arial"/>
          <w:b/>
          <w:color w:val="auto"/>
          <w:szCs w:val="21"/>
          <w:highlight w:val="none"/>
        </w:rPr>
        <w:t>残疾人福利性单位声明函</w:t>
      </w:r>
      <w:bookmarkEnd w:id="40"/>
      <w:bookmarkEnd w:id="41"/>
    </w:p>
    <w:p>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pPr>
        <w:spacing w:line="360" w:lineRule="auto"/>
        <w:ind w:firstLine="420"/>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w:t>
      </w: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 xml:space="preserve">单位名称（电子签章）：          </w:t>
      </w:r>
    </w:p>
    <w:p>
      <w:pPr>
        <w:spacing w:line="360" w:lineRule="auto"/>
        <w:ind w:firstLine="420"/>
        <w:rPr>
          <w:rFonts w:ascii="Arial" w:hAnsi="Arial" w:cs="Arial"/>
          <w:color w:val="auto"/>
          <w:szCs w:val="21"/>
          <w:highlight w:val="none"/>
        </w:rPr>
      </w:pPr>
      <w:r>
        <w:rPr>
          <w:rFonts w:ascii="Arial" w:hAnsi="Arial" w:cs="Arial"/>
          <w:color w:val="auto"/>
          <w:spacing w:val="6"/>
          <w:szCs w:val="21"/>
          <w:highlight w:val="none"/>
        </w:rPr>
        <w:t xml:space="preserve">                                                       日  期：</w:t>
      </w:r>
    </w:p>
    <w:p>
      <w:pPr>
        <w:pStyle w:val="13"/>
        <w:spacing w:line="288" w:lineRule="auto"/>
        <w:ind w:firstLine="422" w:firstLineChars="200"/>
        <w:rPr>
          <w:rFonts w:ascii="Arial" w:hAnsi="Arial" w:cs="Arial"/>
          <w:b/>
          <w:bCs/>
          <w:color w:val="auto"/>
          <w:highlight w:val="none"/>
        </w:rPr>
      </w:pPr>
    </w:p>
    <w:p>
      <w:pPr>
        <w:pStyle w:val="13"/>
        <w:spacing w:line="288" w:lineRule="auto"/>
        <w:rPr>
          <w:rFonts w:ascii="Arial" w:hAnsi="Arial" w:cs="Arial"/>
          <w:color w:val="auto"/>
          <w:sz w:val="24"/>
          <w:highlight w:val="none"/>
        </w:rPr>
      </w:pPr>
    </w:p>
    <w:p>
      <w:pPr>
        <w:pStyle w:val="13"/>
        <w:spacing w:line="288" w:lineRule="auto"/>
        <w:rPr>
          <w:rFonts w:ascii="Arial" w:hAnsi="Arial" w:cs="Arial"/>
          <w:color w:val="auto"/>
          <w:sz w:val="24"/>
          <w:highlight w:val="none"/>
        </w:rPr>
      </w:pPr>
    </w:p>
    <w:p>
      <w:pPr>
        <w:pStyle w:val="13"/>
        <w:spacing w:line="288" w:lineRule="auto"/>
        <w:rPr>
          <w:rFonts w:ascii="Arial" w:hAnsi="Arial" w:cs="Arial"/>
          <w:b/>
          <w:bCs/>
          <w:color w:val="auto"/>
          <w:highlight w:val="none"/>
        </w:rPr>
      </w:pPr>
      <w:r>
        <w:rPr>
          <w:rFonts w:hint="eastAsia" w:ascii="Arial" w:hAnsi="Arial" w:cs="Arial"/>
          <w:b/>
          <w:bCs/>
          <w:color w:val="auto"/>
          <w:highlight w:val="none"/>
        </w:rPr>
        <w:t>8</w:t>
      </w:r>
      <w:r>
        <w:rPr>
          <w:rFonts w:ascii="Arial" w:hAnsi="Arial" w:cs="Arial"/>
          <w:b/>
          <w:bCs/>
          <w:color w:val="auto"/>
          <w:highlight w:val="none"/>
        </w:rPr>
        <w:t>.除磋商文件规定必须提供以外，供应商认为需要提供的其他证明材料；</w:t>
      </w:r>
    </w:p>
    <w:p>
      <w:pPr>
        <w:snapToGrid w:val="0"/>
        <w:spacing w:before="156" w:beforeLines="50" w:after="50" w:line="288" w:lineRule="auto"/>
        <w:rPr>
          <w:rFonts w:ascii="Arial" w:hAnsi="Arial" w:cs="Arial"/>
          <w:color w:val="auto"/>
          <w:sz w:val="24"/>
          <w:szCs w:val="20"/>
          <w:highlight w:val="none"/>
        </w:rPr>
      </w:pPr>
      <w:r>
        <w:rPr>
          <w:rFonts w:ascii="Arial" w:hAnsi="Arial" w:cs="Arial"/>
          <w:color w:val="auto"/>
          <w:sz w:val="24"/>
          <w:szCs w:val="20"/>
          <w:highlight w:val="none"/>
        </w:rPr>
        <w:t xml:space="preserve"> </w:t>
      </w:r>
    </w:p>
    <w:p>
      <w:pPr>
        <w:spacing w:line="288" w:lineRule="auto"/>
        <w:rPr>
          <w:rFonts w:ascii="Arial" w:hAnsi="Arial" w:cs="Arial"/>
          <w:color w:val="auto"/>
          <w:szCs w:val="21"/>
          <w:highlight w:val="none"/>
        </w:rPr>
      </w:pPr>
    </w:p>
    <w:p>
      <w:pPr>
        <w:spacing w:line="288" w:lineRule="auto"/>
        <w:rPr>
          <w:rFonts w:ascii="Arial" w:hAnsi="Arial" w:cs="Arial"/>
          <w:color w:val="auto"/>
          <w:szCs w:val="21"/>
          <w:highlight w:val="none"/>
        </w:rPr>
      </w:pPr>
    </w:p>
    <w:p>
      <w:pPr>
        <w:snapToGrid w:val="0"/>
        <w:spacing w:before="156" w:beforeLines="50" w:after="50" w:line="288" w:lineRule="auto"/>
        <w:ind w:right="480" w:firstLine="210" w:firstLineChars="100"/>
        <w:rPr>
          <w:rFonts w:ascii="Arial" w:hAnsi="Arial" w:cs="Arial"/>
          <w:b/>
          <w:color w:val="auto"/>
          <w:sz w:val="32"/>
          <w:szCs w:val="32"/>
          <w:highlight w:val="none"/>
        </w:rPr>
      </w:pPr>
      <w:r>
        <w:rPr>
          <w:rFonts w:ascii="Arial" w:hAnsi="Arial" w:cs="Arial"/>
          <w:color w:val="auto"/>
          <w:szCs w:val="21"/>
          <w:highlight w:val="none"/>
        </w:rPr>
        <w:br w:type="page"/>
      </w:r>
      <w:r>
        <w:rPr>
          <w:rFonts w:ascii="Arial" w:hAnsi="Arial" w:cs="Arial"/>
          <w:b/>
          <w:bCs/>
          <w:color w:val="auto"/>
          <w:sz w:val="32"/>
          <w:szCs w:val="32"/>
          <w:highlight w:val="none"/>
        </w:rPr>
        <w:t>二、</w:t>
      </w:r>
      <w:r>
        <w:rPr>
          <w:rFonts w:ascii="Arial" w:hAnsi="Arial" w:cs="Arial"/>
          <w:b/>
          <w:color w:val="auto"/>
          <w:sz w:val="32"/>
          <w:szCs w:val="32"/>
          <w:highlight w:val="none"/>
        </w:rPr>
        <w:t xml:space="preserve">商务技术文件格式 </w:t>
      </w:r>
    </w:p>
    <w:p>
      <w:pPr>
        <w:snapToGrid w:val="0"/>
        <w:spacing w:before="156" w:beforeLines="50" w:after="50" w:line="288" w:lineRule="auto"/>
        <w:jc w:val="left"/>
        <w:rPr>
          <w:rFonts w:ascii="Arial" w:hAnsi="Arial" w:cs="Arial"/>
          <w:b/>
          <w:color w:val="auto"/>
          <w:sz w:val="32"/>
          <w:szCs w:val="32"/>
          <w:highlight w:val="none"/>
        </w:rPr>
      </w:pPr>
      <w:r>
        <w:rPr>
          <w:rFonts w:ascii="Arial" w:hAnsi="Arial" w:cs="Arial"/>
          <w:b/>
          <w:color w:val="auto"/>
          <w:sz w:val="32"/>
          <w:szCs w:val="32"/>
          <w:highlight w:val="none"/>
        </w:rPr>
        <w:t>封面格式</w:t>
      </w:r>
    </w:p>
    <w:p>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商务技术文件</w:t>
      </w: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pStyle w:val="7"/>
        <w:snapToGrid w:val="0"/>
        <w:spacing w:before="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pPr>
        <w:pStyle w:val="7"/>
        <w:snapToGrid w:val="0"/>
        <w:spacing w:before="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日期：年    月    日</w:t>
      </w:r>
    </w:p>
    <w:p>
      <w:pPr>
        <w:pStyle w:val="13"/>
        <w:spacing w:line="288" w:lineRule="auto"/>
        <w:ind w:firstLine="480" w:firstLineChars="200"/>
        <w:rPr>
          <w:rFonts w:ascii="Arial" w:hAnsi="Arial" w:cs="Arial"/>
          <w:b/>
          <w:bCs/>
          <w:color w:val="auto"/>
          <w:highlight w:val="none"/>
        </w:rPr>
      </w:pPr>
      <w:r>
        <w:rPr>
          <w:rFonts w:ascii="Arial" w:hAnsi="Arial" w:cs="Arial"/>
          <w:color w:val="auto"/>
          <w:sz w:val="24"/>
          <w:highlight w:val="none"/>
        </w:rPr>
        <w:br w:type="page"/>
      </w:r>
      <w:r>
        <w:rPr>
          <w:rFonts w:ascii="Arial" w:hAnsi="Arial" w:cs="Arial"/>
          <w:b/>
          <w:bCs/>
          <w:color w:val="auto"/>
          <w:highlight w:val="none"/>
        </w:rPr>
        <w:t>1.无串通竞标行为的承诺函（格式后附）；（必须提供，否则响应文件按无效响应处理）</w:t>
      </w:r>
    </w:p>
    <w:p>
      <w:pPr>
        <w:spacing w:line="288" w:lineRule="auto"/>
        <w:jc w:val="center"/>
        <w:rPr>
          <w:rFonts w:ascii="Arial" w:hAnsi="Arial" w:eastAsia="方正小标宋简体" w:cs="Arial"/>
          <w:color w:val="auto"/>
          <w:sz w:val="44"/>
          <w:szCs w:val="44"/>
          <w:highlight w:val="none"/>
        </w:rPr>
      </w:pPr>
    </w:p>
    <w:p>
      <w:pPr>
        <w:spacing w:line="288" w:lineRule="auto"/>
        <w:jc w:val="center"/>
        <w:rPr>
          <w:rFonts w:ascii="Arial" w:hAnsi="Arial" w:eastAsia="仿宋_GB2312" w:cs="Arial"/>
          <w:color w:val="auto"/>
          <w:sz w:val="32"/>
          <w:szCs w:val="32"/>
          <w:highlight w:val="none"/>
        </w:rPr>
      </w:pPr>
      <w:r>
        <w:rPr>
          <w:rFonts w:ascii="Arial" w:hAnsi="Arial" w:eastAsia="方正小标宋简体" w:cs="Arial"/>
          <w:color w:val="auto"/>
          <w:sz w:val="44"/>
          <w:szCs w:val="44"/>
          <w:highlight w:val="none"/>
        </w:rPr>
        <w:t>无串通竞标行为的承诺函</w:t>
      </w:r>
    </w:p>
    <w:p>
      <w:pPr>
        <w:spacing w:line="288" w:lineRule="auto"/>
        <w:ind w:firstLine="640" w:firstLineChars="200"/>
        <w:rPr>
          <w:rFonts w:ascii="Arial" w:hAnsi="Arial" w:eastAsia="仿宋_GB2312" w:cs="Arial"/>
          <w:color w:val="auto"/>
          <w:sz w:val="32"/>
          <w:szCs w:val="32"/>
          <w:highlight w:val="none"/>
        </w:rPr>
      </w:pP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一、我方承诺无下列相互串通竞标的情形：</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1.不同供应商的响应文件由同一单位或者个人编制；或者不同供应商报名的IP地址一致的；</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2.不同供应商委托同一单位或者个人办理竞标事宜；</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3.不同供应商的响应文件载明的项目管理员为同一个人；</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4.不</w:t>
      </w:r>
      <w:r>
        <w:rPr>
          <w:rFonts w:ascii="Arial" w:hAnsi="Arial" w:cs="Arial"/>
          <w:color w:val="auto"/>
          <w:spacing w:val="-6"/>
          <w:sz w:val="24"/>
          <w:highlight w:val="none"/>
        </w:rPr>
        <w:t>同供应商的响应文件异常一致或者响应报价呈规律性差异；</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5.不同供应商的响应文件相互混装；</w:t>
      </w: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二、我方承诺无下列恶意串通的情形：</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1.供应商直接或者间接从采购人或者采购代理机构处获得其他供应商的相关信息并修改其响应文件；</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2.供应商按照采购人或者采购代理机构的授意撤换、修改响应文件；</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3.供</w:t>
      </w:r>
      <w:r>
        <w:rPr>
          <w:rFonts w:ascii="Arial" w:hAnsi="Arial" w:cs="Arial"/>
          <w:color w:val="auto"/>
          <w:spacing w:val="-6"/>
          <w:sz w:val="24"/>
          <w:highlight w:val="none"/>
        </w:rPr>
        <w:t>应商之间协商报价、施工组织设计等响应文件的实质性内容；</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4.属于同一集团、协会、商会等组织成员的供应商按照该组织要求协同参加政府采购活动；</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6.供应商之间商定部分供应商放弃参加政府采购活动或者放弃成交；</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7.供应商与采购人或者采购代理机构之间、供应商相互之间，为</w:t>
      </w:r>
      <w:r>
        <w:rPr>
          <w:rFonts w:ascii="Arial" w:hAnsi="Arial" w:cs="Arial"/>
          <w:color w:val="auto"/>
          <w:spacing w:val="-6"/>
          <w:sz w:val="24"/>
          <w:highlight w:val="none"/>
        </w:rPr>
        <w:t>谋求特定供应商成交或者排斥其他供应商的其他串通行为。</w:t>
      </w:r>
    </w:p>
    <w:p>
      <w:pPr>
        <w:spacing w:line="288" w:lineRule="auto"/>
        <w:ind w:firstLine="480" w:firstLineChars="200"/>
        <w:rPr>
          <w:rFonts w:ascii="Arial" w:hAnsi="Arial" w:cs="Arial"/>
          <w:color w:val="auto"/>
          <w:sz w:val="24"/>
          <w:highlight w:val="none"/>
        </w:rPr>
      </w:pPr>
    </w:p>
    <w:p>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以上情形一经核查属实，我方愿意承担一切后果，并不再寻求任何旨在减轻或者免除法律责任的辩解。</w:t>
      </w:r>
    </w:p>
    <w:p>
      <w:pPr>
        <w:spacing w:line="288" w:lineRule="auto"/>
        <w:rPr>
          <w:rFonts w:ascii="Arial" w:hAnsi="Arial" w:cs="Arial"/>
          <w:color w:val="auto"/>
          <w:sz w:val="24"/>
          <w:highlight w:val="none"/>
        </w:rPr>
      </w:pPr>
    </w:p>
    <w:p>
      <w:pPr>
        <w:snapToGrid w:val="0"/>
        <w:spacing w:before="156" w:beforeLines="50" w:line="288" w:lineRule="auto"/>
        <w:ind w:right="480"/>
        <w:rPr>
          <w:rFonts w:ascii="Arial" w:hAnsi="Arial" w:cs="Arial"/>
          <w:color w:val="auto"/>
          <w:sz w:val="24"/>
          <w:highlight w:val="none"/>
          <w:u w:val="single"/>
        </w:rPr>
      </w:pPr>
      <w:r>
        <w:rPr>
          <w:rFonts w:ascii="Arial" w:hAnsi="Arial" w:cs="Arial"/>
          <w:color w:val="auto"/>
          <w:sz w:val="24"/>
          <w:highlight w:val="none"/>
        </w:rPr>
        <w:t xml:space="preserve">供应商[公章（CA签章）]： </w:t>
      </w:r>
      <w:r>
        <w:rPr>
          <w:rFonts w:ascii="Arial" w:hAnsi="Arial" w:cs="Arial"/>
          <w:color w:val="auto"/>
          <w:sz w:val="24"/>
          <w:highlight w:val="none"/>
          <w:u w:val="single"/>
        </w:rPr>
        <w:t xml:space="preserve">                      </w:t>
      </w:r>
    </w:p>
    <w:p>
      <w:pPr>
        <w:snapToGrid w:val="0"/>
        <w:spacing w:before="156" w:beforeLines="50" w:line="288" w:lineRule="auto"/>
        <w:ind w:right="480"/>
        <w:rPr>
          <w:rFonts w:ascii="Arial" w:hAnsi="Arial" w:cs="Arial"/>
          <w:color w:val="auto"/>
          <w:sz w:val="24"/>
          <w:highlight w:val="none"/>
        </w:rPr>
      </w:pPr>
      <w:r>
        <w:rPr>
          <w:rFonts w:ascii="Arial" w:hAnsi="Arial" w:cs="Arial"/>
          <w:color w:val="auto"/>
          <w:sz w:val="24"/>
          <w:highlight w:val="none"/>
        </w:rPr>
        <w:t>日期</w:t>
      </w:r>
      <w:r>
        <w:rPr>
          <w:rFonts w:ascii="Arial" w:hAnsi="Arial" w:cs="Arial"/>
          <w:color w:val="auto"/>
          <w:sz w:val="24"/>
          <w:highlight w:val="none"/>
          <w:u w:val="single"/>
        </w:rPr>
        <w:t xml:space="preserve">：   年    月    </w:t>
      </w:r>
      <w:r>
        <w:rPr>
          <w:rFonts w:ascii="Arial" w:hAnsi="Arial" w:cs="Arial"/>
          <w:color w:val="auto"/>
          <w:sz w:val="24"/>
          <w:highlight w:val="none"/>
        </w:rPr>
        <w:t>日</w:t>
      </w:r>
    </w:p>
    <w:p>
      <w:pPr>
        <w:pStyle w:val="13"/>
        <w:spacing w:line="288" w:lineRule="auto"/>
        <w:rPr>
          <w:rFonts w:ascii="Arial" w:hAnsi="Arial" w:cs="Arial"/>
          <w:b/>
          <w:bCs/>
          <w:color w:val="auto"/>
          <w:highlight w:val="none"/>
        </w:rPr>
      </w:pPr>
      <w:r>
        <w:rPr>
          <w:rFonts w:ascii="Arial" w:hAnsi="Arial" w:eastAsia="方正小标宋简体" w:cs="Arial"/>
          <w:bCs/>
          <w:color w:val="auto"/>
          <w:sz w:val="44"/>
          <w:szCs w:val="44"/>
          <w:highlight w:val="none"/>
        </w:rPr>
        <w:br w:type="page"/>
      </w:r>
      <w:r>
        <w:rPr>
          <w:rFonts w:ascii="Arial" w:hAnsi="Arial" w:cs="Arial"/>
          <w:b/>
          <w:bCs/>
          <w:color w:val="auto"/>
          <w:highlight w:val="none"/>
        </w:rPr>
        <w:t>2.法定代表人身份证明书及法定代表人有效身份证正反面复印件（格式后附）；（除自然人竞标外必须提供，否则响应文件按无效响应处理）</w:t>
      </w:r>
    </w:p>
    <w:p>
      <w:pPr>
        <w:snapToGrid w:val="0"/>
        <w:spacing w:before="156" w:beforeLines="50" w:line="288" w:lineRule="auto"/>
        <w:ind w:right="480"/>
        <w:rPr>
          <w:rFonts w:ascii="Arial" w:hAnsi="Arial" w:cs="Arial"/>
          <w:color w:val="auto"/>
          <w:sz w:val="24"/>
          <w:highlight w:val="none"/>
        </w:rPr>
      </w:pPr>
    </w:p>
    <w:p>
      <w:pPr>
        <w:spacing w:before="312" w:beforeLines="100" w:after="156" w:afterLines="50" w:line="288" w:lineRule="auto"/>
        <w:ind w:left="540"/>
        <w:jc w:val="center"/>
        <w:rPr>
          <w:rFonts w:ascii="Arial" w:hAnsi="Arial" w:eastAsia="仿宋_GB2312" w:cs="Arial"/>
          <w:color w:val="auto"/>
          <w:sz w:val="32"/>
          <w:szCs w:val="32"/>
          <w:highlight w:val="none"/>
        </w:rPr>
      </w:pPr>
      <w:r>
        <w:rPr>
          <w:rFonts w:ascii="Arial" w:hAnsi="Arial" w:eastAsia="方正小标宋简体" w:cs="Arial"/>
          <w:bCs/>
          <w:color w:val="auto"/>
          <w:sz w:val="44"/>
          <w:szCs w:val="44"/>
          <w:highlight w:val="none"/>
        </w:rPr>
        <w:t>法定代表人证明书</w:t>
      </w:r>
    </w:p>
    <w:p>
      <w:pPr>
        <w:spacing w:line="288" w:lineRule="auto"/>
        <w:ind w:left="540"/>
        <w:rPr>
          <w:rFonts w:ascii="Arial" w:hAnsi="Arial" w:eastAsia="仿宋_GB2312" w:cs="Arial"/>
          <w:color w:val="auto"/>
          <w:sz w:val="32"/>
          <w:szCs w:val="32"/>
          <w:highlight w:val="none"/>
        </w:rPr>
      </w:pPr>
    </w:p>
    <w:p>
      <w:pPr>
        <w:spacing w:line="288" w:lineRule="auto"/>
        <w:ind w:left="540"/>
        <w:rPr>
          <w:rFonts w:ascii="Arial" w:hAnsi="Arial" w:cs="Arial"/>
          <w:color w:val="auto"/>
          <w:sz w:val="24"/>
          <w:highlight w:val="none"/>
        </w:rPr>
      </w:pPr>
      <w:r>
        <w:rPr>
          <w:rFonts w:ascii="Arial" w:hAnsi="Arial" w:cs="Arial"/>
          <w:color w:val="auto"/>
          <w:sz w:val="24"/>
          <w:highlight w:val="none"/>
        </w:rPr>
        <w:t>供应商名称：</w:t>
      </w:r>
      <w:r>
        <w:rPr>
          <w:rFonts w:ascii="Arial" w:hAnsi="Arial" w:cs="Arial"/>
          <w:color w:val="auto"/>
          <w:sz w:val="24"/>
          <w:highlight w:val="none"/>
          <w:u w:val="single"/>
        </w:rPr>
        <w:t xml:space="preserve">                                                        </w:t>
      </w:r>
    </w:p>
    <w:p>
      <w:pPr>
        <w:spacing w:line="288" w:lineRule="auto"/>
        <w:ind w:left="540"/>
        <w:rPr>
          <w:rFonts w:ascii="Arial" w:hAnsi="Arial" w:cs="Arial"/>
          <w:color w:val="auto"/>
          <w:sz w:val="24"/>
          <w:highlight w:val="none"/>
        </w:rPr>
      </w:pPr>
      <w:r>
        <w:rPr>
          <w:rFonts w:ascii="Arial" w:hAnsi="Arial" w:cs="Arial"/>
          <w:color w:val="auto"/>
          <w:sz w:val="24"/>
          <w:highlight w:val="none"/>
        </w:rPr>
        <w:t>地    址：</w:t>
      </w:r>
      <w:r>
        <w:rPr>
          <w:rFonts w:ascii="Arial" w:hAnsi="Arial" w:cs="Arial"/>
          <w:color w:val="auto"/>
          <w:sz w:val="24"/>
          <w:highlight w:val="none"/>
          <w:u w:val="single"/>
        </w:rPr>
        <w:t xml:space="preserve">                                                        </w:t>
      </w:r>
    </w:p>
    <w:p>
      <w:pPr>
        <w:spacing w:line="288" w:lineRule="auto"/>
        <w:ind w:left="540"/>
        <w:rPr>
          <w:rFonts w:ascii="Arial" w:hAnsi="Arial" w:cs="Arial"/>
          <w:color w:val="auto"/>
          <w:sz w:val="24"/>
          <w:highlight w:val="none"/>
        </w:rPr>
      </w:pPr>
      <w:r>
        <w:rPr>
          <w:rFonts w:ascii="Arial" w:hAnsi="Arial" w:cs="Arial"/>
          <w:color w:val="auto"/>
          <w:sz w:val="24"/>
          <w:highlight w:val="none"/>
        </w:rPr>
        <w:t>姓    名：</w:t>
      </w:r>
      <w:r>
        <w:rPr>
          <w:rFonts w:ascii="Arial" w:hAnsi="Arial" w:cs="Arial"/>
          <w:color w:val="auto"/>
          <w:sz w:val="24"/>
          <w:highlight w:val="none"/>
          <w:u w:val="single"/>
        </w:rPr>
        <w:t xml:space="preserve">                </w:t>
      </w:r>
      <w:r>
        <w:rPr>
          <w:rFonts w:ascii="Arial" w:hAnsi="Arial" w:cs="Arial"/>
          <w:color w:val="auto"/>
          <w:sz w:val="24"/>
          <w:highlight w:val="none"/>
        </w:rPr>
        <w:t>性     别：</w:t>
      </w:r>
      <w:r>
        <w:rPr>
          <w:rFonts w:ascii="Arial" w:hAnsi="Arial" w:cs="Arial"/>
          <w:color w:val="auto"/>
          <w:sz w:val="24"/>
          <w:highlight w:val="none"/>
          <w:u w:val="single"/>
        </w:rPr>
        <w:t xml:space="preserve">                </w:t>
      </w:r>
    </w:p>
    <w:p>
      <w:pPr>
        <w:spacing w:line="288" w:lineRule="auto"/>
        <w:ind w:left="540"/>
        <w:rPr>
          <w:rFonts w:ascii="Arial" w:hAnsi="Arial" w:cs="Arial"/>
          <w:color w:val="auto"/>
          <w:sz w:val="24"/>
          <w:highlight w:val="none"/>
          <w:u w:val="single"/>
        </w:rPr>
      </w:pPr>
      <w:r>
        <w:rPr>
          <w:rFonts w:ascii="Arial" w:hAnsi="Arial" w:cs="Arial"/>
          <w:color w:val="auto"/>
          <w:sz w:val="24"/>
          <w:highlight w:val="none"/>
        </w:rPr>
        <w:t>年    龄：</w:t>
      </w:r>
      <w:r>
        <w:rPr>
          <w:rFonts w:ascii="Arial" w:hAnsi="Arial" w:cs="Arial"/>
          <w:color w:val="auto"/>
          <w:sz w:val="24"/>
          <w:highlight w:val="none"/>
          <w:u w:val="single"/>
        </w:rPr>
        <w:t xml:space="preserve">                </w:t>
      </w:r>
      <w:r>
        <w:rPr>
          <w:rFonts w:ascii="Arial" w:hAnsi="Arial" w:cs="Arial"/>
          <w:color w:val="auto"/>
          <w:sz w:val="24"/>
          <w:highlight w:val="none"/>
        </w:rPr>
        <w:t>职     务：</w:t>
      </w:r>
      <w:r>
        <w:rPr>
          <w:rFonts w:ascii="Arial" w:hAnsi="Arial" w:cs="Arial"/>
          <w:color w:val="auto"/>
          <w:sz w:val="24"/>
          <w:highlight w:val="none"/>
          <w:u w:val="single"/>
        </w:rPr>
        <w:t xml:space="preserve">                </w:t>
      </w:r>
    </w:p>
    <w:p>
      <w:pPr>
        <w:spacing w:line="288" w:lineRule="auto"/>
        <w:ind w:left="540"/>
        <w:rPr>
          <w:rFonts w:ascii="Arial" w:hAnsi="Arial" w:cs="Arial"/>
          <w:color w:val="auto"/>
          <w:sz w:val="24"/>
          <w:highlight w:val="none"/>
        </w:rPr>
      </w:pPr>
      <w:r>
        <w:rPr>
          <w:rFonts w:ascii="Arial" w:hAnsi="Arial" w:cs="Arial"/>
          <w:color w:val="auto"/>
          <w:sz w:val="24"/>
          <w:highlight w:val="none"/>
        </w:rPr>
        <w:t>身份证号码：</w:t>
      </w:r>
      <w:r>
        <w:rPr>
          <w:rFonts w:ascii="Arial" w:hAnsi="Arial" w:cs="Arial"/>
          <w:color w:val="auto"/>
          <w:sz w:val="24"/>
          <w:highlight w:val="none"/>
          <w:u w:val="single"/>
        </w:rPr>
        <w:t xml:space="preserve">                                        </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系</w:t>
      </w:r>
      <w:r>
        <w:rPr>
          <w:rFonts w:ascii="Arial" w:hAnsi="Arial" w:cs="Arial"/>
          <w:color w:val="auto"/>
          <w:sz w:val="24"/>
          <w:highlight w:val="none"/>
          <w:u w:val="single"/>
        </w:rPr>
        <w:t>（供应商名称）</w:t>
      </w:r>
      <w:r>
        <w:rPr>
          <w:rFonts w:ascii="Arial" w:hAnsi="Arial" w:cs="Arial"/>
          <w:color w:val="auto"/>
          <w:sz w:val="24"/>
          <w:highlight w:val="none"/>
        </w:rPr>
        <w:t>的法定代表人。</w:t>
      </w:r>
    </w:p>
    <w:p>
      <w:pPr>
        <w:spacing w:line="288" w:lineRule="auto"/>
        <w:ind w:left="540"/>
        <w:rPr>
          <w:rFonts w:ascii="Arial" w:hAnsi="Arial" w:cs="Arial"/>
          <w:color w:val="auto"/>
          <w:sz w:val="24"/>
          <w:highlight w:val="none"/>
        </w:rPr>
      </w:pPr>
      <w:r>
        <w:rPr>
          <w:rFonts w:ascii="Arial" w:hAnsi="Arial" w:cs="Arial"/>
          <w:color w:val="auto"/>
          <w:sz w:val="24"/>
          <w:highlight w:val="none"/>
        </w:rPr>
        <w:t>特此证明。</w:t>
      </w:r>
    </w:p>
    <w:p>
      <w:pPr>
        <w:spacing w:line="288" w:lineRule="auto"/>
        <w:ind w:left="540"/>
        <w:rPr>
          <w:rFonts w:ascii="Arial" w:hAnsi="Arial" w:cs="Arial"/>
          <w:color w:val="auto"/>
          <w:sz w:val="24"/>
          <w:highlight w:val="none"/>
        </w:rPr>
      </w:pPr>
    </w:p>
    <w:p>
      <w:pPr>
        <w:spacing w:line="288" w:lineRule="auto"/>
        <w:ind w:left="540"/>
        <w:rPr>
          <w:rFonts w:ascii="Arial" w:hAnsi="Arial" w:cs="Arial"/>
          <w:color w:val="auto"/>
          <w:sz w:val="24"/>
          <w:highlight w:val="none"/>
        </w:rPr>
      </w:pPr>
    </w:p>
    <w:p>
      <w:pPr>
        <w:spacing w:line="288" w:lineRule="auto"/>
        <w:ind w:left="540"/>
        <w:rPr>
          <w:rFonts w:ascii="Arial" w:hAnsi="Arial" w:cs="Arial"/>
          <w:color w:val="auto"/>
          <w:sz w:val="24"/>
          <w:highlight w:val="none"/>
        </w:rPr>
      </w:pPr>
    </w:p>
    <w:p>
      <w:pPr>
        <w:spacing w:line="288" w:lineRule="auto"/>
        <w:ind w:left="540"/>
        <w:rPr>
          <w:rFonts w:ascii="Arial" w:hAnsi="Arial" w:cs="Arial"/>
          <w:color w:val="auto"/>
          <w:sz w:val="24"/>
          <w:highlight w:val="none"/>
        </w:rPr>
      </w:pPr>
      <w:r>
        <w:rPr>
          <w:rFonts w:ascii="Arial" w:hAnsi="Arial" w:cs="Arial"/>
          <w:color w:val="auto"/>
          <w:sz w:val="24"/>
          <w:highlight w:val="none"/>
        </w:rPr>
        <w:t>附件：法定代表人有效身份证正反面复印件</w:t>
      </w:r>
    </w:p>
    <w:p>
      <w:pPr>
        <w:spacing w:line="288" w:lineRule="auto"/>
        <w:ind w:left="540"/>
        <w:rPr>
          <w:rFonts w:ascii="Arial" w:hAnsi="Arial" w:cs="Arial"/>
          <w:color w:val="auto"/>
          <w:sz w:val="24"/>
          <w:highlight w:val="none"/>
        </w:rPr>
      </w:pPr>
    </w:p>
    <w:p>
      <w:pPr>
        <w:snapToGrid w:val="0"/>
        <w:spacing w:before="156" w:beforeLines="50" w:line="288" w:lineRule="auto"/>
        <w:ind w:right="480"/>
        <w:rPr>
          <w:rFonts w:ascii="Arial" w:hAnsi="Arial" w:cs="Arial"/>
          <w:color w:val="auto"/>
          <w:sz w:val="24"/>
          <w:highlight w:val="none"/>
          <w:u w:val="single"/>
        </w:rPr>
      </w:pPr>
      <w:r>
        <w:rPr>
          <w:rFonts w:ascii="Arial" w:hAnsi="Arial" w:cs="Arial"/>
          <w:color w:val="auto"/>
          <w:sz w:val="24"/>
          <w:highlight w:val="none"/>
        </w:rPr>
        <w:t xml:space="preserve">供应商[公章（CA签章）]： </w:t>
      </w:r>
      <w:r>
        <w:rPr>
          <w:rFonts w:ascii="Arial" w:hAnsi="Arial" w:cs="Arial"/>
          <w:color w:val="auto"/>
          <w:sz w:val="24"/>
          <w:highlight w:val="none"/>
          <w:u w:val="single"/>
        </w:rPr>
        <w:t xml:space="preserve">                      </w:t>
      </w:r>
    </w:p>
    <w:p>
      <w:pPr>
        <w:snapToGrid w:val="0"/>
        <w:spacing w:before="156" w:beforeLines="50" w:line="288" w:lineRule="auto"/>
        <w:ind w:right="480"/>
        <w:rPr>
          <w:rFonts w:ascii="Arial" w:hAnsi="Arial" w:cs="Arial"/>
          <w:color w:val="auto"/>
          <w:sz w:val="24"/>
          <w:highlight w:val="none"/>
        </w:rPr>
      </w:pPr>
      <w:r>
        <w:rPr>
          <w:rFonts w:ascii="Arial" w:hAnsi="Arial" w:cs="Arial"/>
          <w:color w:val="auto"/>
          <w:sz w:val="24"/>
          <w:highlight w:val="none"/>
        </w:rPr>
        <w:t>日期：</w:t>
      </w:r>
      <w:r>
        <w:rPr>
          <w:rFonts w:ascii="Arial" w:hAnsi="Arial" w:cs="Arial"/>
          <w:color w:val="auto"/>
          <w:sz w:val="24"/>
          <w:highlight w:val="none"/>
          <w:u w:val="single"/>
        </w:rPr>
        <w:t xml:space="preserve">         年    月    </w:t>
      </w:r>
      <w:r>
        <w:rPr>
          <w:rFonts w:ascii="Arial" w:hAnsi="Arial" w:cs="Arial"/>
          <w:color w:val="auto"/>
          <w:sz w:val="24"/>
          <w:highlight w:val="none"/>
        </w:rPr>
        <w:t>日</w:t>
      </w:r>
    </w:p>
    <w:p>
      <w:pPr>
        <w:snapToGrid w:val="0"/>
        <w:spacing w:before="156" w:beforeLines="50" w:after="50" w:line="288" w:lineRule="auto"/>
        <w:jc w:val="center"/>
        <w:rPr>
          <w:rFonts w:ascii="Arial" w:hAnsi="Arial" w:cs="Arial"/>
          <w:b/>
          <w:color w:val="auto"/>
          <w:sz w:val="24"/>
          <w:highlight w:val="none"/>
        </w:rPr>
      </w:pPr>
    </w:p>
    <w:p>
      <w:pPr>
        <w:snapToGrid w:val="0"/>
        <w:spacing w:before="156" w:beforeLines="50" w:after="50" w:line="288" w:lineRule="auto"/>
        <w:jc w:val="left"/>
        <w:rPr>
          <w:rFonts w:ascii="Arial" w:hAnsi="Arial" w:cs="Arial"/>
          <w:color w:val="auto"/>
          <w:sz w:val="24"/>
          <w:highlight w:val="none"/>
        </w:rPr>
      </w:pPr>
    </w:p>
    <w:p>
      <w:pPr>
        <w:snapToGrid w:val="0"/>
        <w:spacing w:before="156" w:beforeLines="50" w:after="50" w:line="288" w:lineRule="auto"/>
        <w:jc w:val="left"/>
        <w:rPr>
          <w:rFonts w:ascii="Arial" w:hAnsi="Arial" w:cs="Arial"/>
          <w:color w:val="auto"/>
          <w:sz w:val="24"/>
          <w:highlight w:val="none"/>
        </w:rPr>
      </w:pPr>
      <w:r>
        <w:rPr>
          <w:rFonts w:ascii="Arial" w:hAnsi="Arial" w:cs="Arial"/>
          <w:color w:val="auto"/>
          <w:sz w:val="24"/>
          <w:highlight w:val="none"/>
        </w:rPr>
        <w:t>注：1.自然人竞标的无需提供。</w:t>
      </w:r>
    </w:p>
    <w:p>
      <w:pPr>
        <w:snapToGrid w:val="0"/>
        <w:spacing w:before="156" w:beforeLines="50" w:after="50" w:line="288" w:lineRule="auto"/>
        <w:ind w:firstLine="480" w:firstLineChars="200"/>
        <w:jc w:val="left"/>
        <w:rPr>
          <w:rFonts w:ascii="Arial" w:hAnsi="Arial" w:eastAsia="仿宋_GB2312" w:cs="Arial"/>
          <w:b/>
          <w:color w:val="auto"/>
          <w:sz w:val="32"/>
          <w:szCs w:val="32"/>
          <w:highlight w:val="none"/>
        </w:rPr>
      </w:pPr>
      <w:r>
        <w:rPr>
          <w:rFonts w:ascii="Arial" w:hAnsi="Arial" w:cs="Arial"/>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adjustRightInd w:val="0"/>
        <w:snapToGrid w:val="0"/>
        <w:spacing w:line="288" w:lineRule="auto"/>
        <w:jc w:val="left"/>
        <w:rPr>
          <w:rFonts w:ascii="Arial" w:hAnsi="Arial" w:cs="Arial"/>
          <w:b/>
          <w:color w:val="auto"/>
          <w:szCs w:val="21"/>
          <w:highlight w:val="none"/>
        </w:rPr>
      </w:pPr>
    </w:p>
    <w:p>
      <w:pPr>
        <w:pStyle w:val="13"/>
        <w:spacing w:line="288" w:lineRule="auto"/>
        <w:rPr>
          <w:rFonts w:ascii="Arial" w:hAnsi="Arial" w:cs="Arial"/>
          <w:b/>
          <w:bCs/>
          <w:color w:val="auto"/>
          <w:highlight w:val="none"/>
        </w:rPr>
      </w:pPr>
      <w:r>
        <w:rPr>
          <w:rFonts w:ascii="Arial" w:hAnsi="Arial" w:eastAsia="方正小标宋简体" w:cs="Arial"/>
          <w:color w:val="auto"/>
          <w:sz w:val="44"/>
          <w:szCs w:val="44"/>
          <w:highlight w:val="none"/>
        </w:rPr>
        <w:br w:type="page"/>
      </w:r>
      <w:r>
        <w:rPr>
          <w:rFonts w:ascii="Arial" w:hAnsi="Arial" w:cs="Arial"/>
          <w:b/>
          <w:bCs/>
          <w:color w:val="auto"/>
          <w:highlight w:val="none"/>
        </w:rPr>
        <w:t>3.法定代表人授权委托书及委托代理人有效身份证正反面复印件（格式后附）；（委托时必须提供，否则响应文件按无效响应处理）</w:t>
      </w:r>
    </w:p>
    <w:p>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 xml:space="preserve"> </w:t>
      </w:r>
    </w:p>
    <w:p>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法定代表人授权委托书（非联合体竞标格式）</w:t>
      </w:r>
    </w:p>
    <w:p>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（如有委托时）</w:t>
      </w:r>
    </w:p>
    <w:p>
      <w:pPr>
        <w:spacing w:line="288" w:lineRule="auto"/>
        <w:rPr>
          <w:rFonts w:ascii="Arial" w:hAnsi="Arial" w:eastAsia="仿宋_GB2312" w:cs="Arial"/>
          <w:color w:val="auto"/>
          <w:sz w:val="32"/>
          <w:szCs w:val="32"/>
          <w:highlight w:val="none"/>
        </w:rPr>
      </w:pPr>
    </w:p>
    <w:p>
      <w:pPr>
        <w:spacing w:line="288" w:lineRule="auto"/>
        <w:rPr>
          <w:rFonts w:ascii="Arial" w:hAnsi="Arial" w:cs="Arial"/>
          <w:color w:val="auto"/>
          <w:sz w:val="24"/>
          <w:highlight w:val="none"/>
        </w:rPr>
      </w:pPr>
      <w:r>
        <w:rPr>
          <w:rFonts w:ascii="Arial" w:hAnsi="Arial" w:cs="Arial"/>
          <w:color w:val="auto"/>
          <w:sz w:val="24"/>
          <w:highlight w:val="none"/>
        </w:rPr>
        <w:t>致：</w:t>
      </w:r>
      <w:r>
        <w:rPr>
          <w:rFonts w:ascii="Arial" w:hAnsi="Arial" w:cs="Arial"/>
          <w:color w:val="auto"/>
          <w:sz w:val="24"/>
          <w:highlight w:val="none"/>
          <w:u w:val="single"/>
        </w:rPr>
        <w:t>（采购人名称）</w:t>
      </w:r>
      <w:r>
        <w:rPr>
          <w:rFonts w:ascii="Arial" w:hAnsi="Arial" w:cs="Arial"/>
          <w:color w:val="auto"/>
          <w:sz w:val="24"/>
          <w:highlight w:val="none"/>
        </w:rPr>
        <w:t>：</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我</w:t>
      </w:r>
      <w:r>
        <w:rPr>
          <w:rFonts w:ascii="Arial" w:hAnsi="Arial" w:cs="Arial"/>
          <w:color w:val="auto"/>
          <w:sz w:val="24"/>
          <w:highlight w:val="none"/>
          <w:u w:val="single"/>
        </w:rPr>
        <w:t xml:space="preserve">  （姓名）  </w:t>
      </w:r>
      <w:r>
        <w:rPr>
          <w:rFonts w:ascii="Arial" w:hAnsi="Arial" w:cs="Arial"/>
          <w:color w:val="auto"/>
          <w:sz w:val="24"/>
          <w:highlight w:val="none"/>
        </w:rPr>
        <w:t>系</w:t>
      </w:r>
      <w:r>
        <w:rPr>
          <w:rFonts w:ascii="Arial" w:hAnsi="Arial" w:cs="Arial"/>
          <w:color w:val="auto"/>
          <w:sz w:val="24"/>
          <w:highlight w:val="none"/>
          <w:u w:val="single"/>
        </w:rPr>
        <w:t xml:space="preserve">  （供应商名称）  </w:t>
      </w:r>
      <w:r>
        <w:rPr>
          <w:rFonts w:ascii="Arial" w:hAnsi="Arial" w:cs="Arial"/>
          <w:color w:val="auto"/>
          <w:sz w:val="24"/>
          <w:highlight w:val="none"/>
        </w:rPr>
        <w:t>的（</w:t>
      </w:r>
      <w:r>
        <w:rPr>
          <w:rFonts w:ascii="Arial" w:hAnsi="Arial" w:cs="Arial"/>
          <w:color w:val="auto"/>
          <w:sz w:val="24"/>
          <w:highlight w:val="none"/>
          <w:u w:val="single"/>
        </w:rPr>
        <w:t>□法定代表人/□负责人/□自然人本人</w:t>
      </w:r>
      <w:r>
        <w:rPr>
          <w:rFonts w:ascii="Arial" w:hAnsi="Arial" w:cs="Arial"/>
          <w:color w:val="auto"/>
          <w:sz w:val="24"/>
          <w:highlight w:val="none"/>
        </w:rPr>
        <w:t>），现授权</w:t>
      </w:r>
      <w:r>
        <w:rPr>
          <w:rFonts w:ascii="Arial" w:hAnsi="Arial" w:cs="Arial"/>
          <w:color w:val="auto"/>
          <w:sz w:val="24"/>
          <w:highlight w:val="none"/>
          <w:u w:val="single"/>
        </w:rPr>
        <w:t xml:space="preserve"> （姓名） </w:t>
      </w:r>
      <w:r>
        <w:rPr>
          <w:rFonts w:ascii="Arial" w:hAnsi="Arial" w:cs="Arial"/>
          <w:color w:val="auto"/>
          <w:sz w:val="24"/>
          <w:highlight w:val="none"/>
        </w:rPr>
        <w:t>以我方的名义参加</w:t>
      </w:r>
      <w:r>
        <w:rPr>
          <w:rFonts w:ascii="Arial" w:hAnsi="Arial" w:cs="Arial"/>
          <w:color w:val="auto"/>
          <w:sz w:val="24"/>
          <w:highlight w:val="none"/>
          <w:u w:val="single"/>
        </w:rPr>
        <w:t xml:space="preserve">              </w:t>
      </w:r>
      <w:r>
        <w:rPr>
          <w:rFonts w:ascii="Arial" w:hAnsi="Arial" w:cs="Arial"/>
          <w:color w:val="auto"/>
          <w:sz w:val="24"/>
          <w:highlight w:val="none"/>
        </w:rPr>
        <w:t>项目的竞标活动，并代表我方全权办理针对上述项目的所有采购程序和环节的具体事务和签署相关文件。</w:t>
      </w:r>
    </w:p>
    <w:p>
      <w:pPr>
        <w:spacing w:line="288" w:lineRule="auto"/>
        <w:rPr>
          <w:rFonts w:ascii="Arial" w:hAnsi="Arial" w:cs="Arial"/>
          <w:color w:val="auto"/>
          <w:sz w:val="24"/>
          <w:highlight w:val="none"/>
        </w:rPr>
      </w:pPr>
      <w:r>
        <w:rPr>
          <w:rFonts w:ascii="Arial" w:hAnsi="Arial" w:cs="Arial"/>
          <w:color w:val="auto"/>
          <w:sz w:val="24"/>
          <w:highlight w:val="none"/>
        </w:rPr>
        <w:t xml:space="preserve">    我方对委托代理人的签字事项负全部责任。</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本授权书自签署之日起生效，在撤销授权的书面通知以前，本授权书一直有效。委托代理人在授权书有效期内签署的所有文件不因授权的撤销而失效。</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委托代理人无转委托权，特此委托。</w:t>
      </w:r>
    </w:p>
    <w:p>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附：法定代表人身份证明书及委托代理人有效身份证正反面复印件</w:t>
      </w:r>
    </w:p>
    <w:p>
      <w:pPr>
        <w:spacing w:line="288" w:lineRule="auto"/>
        <w:rPr>
          <w:rFonts w:ascii="Arial" w:hAnsi="Arial" w:cs="Arial"/>
          <w:color w:val="auto"/>
          <w:sz w:val="24"/>
          <w:highlight w:val="none"/>
        </w:rPr>
      </w:pPr>
    </w:p>
    <w:p>
      <w:pPr>
        <w:spacing w:line="288" w:lineRule="auto"/>
        <w:rPr>
          <w:rFonts w:ascii="Arial" w:hAnsi="Arial" w:cs="Arial"/>
          <w:color w:val="auto"/>
          <w:sz w:val="24"/>
          <w:highlight w:val="none"/>
          <w:u w:val="single"/>
        </w:rPr>
      </w:pPr>
      <w:r>
        <w:rPr>
          <w:rFonts w:ascii="Arial" w:hAnsi="Arial" w:cs="Arial"/>
          <w:color w:val="auto"/>
          <w:sz w:val="24"/>
          <w:highlight w:val="none"/>
        </w:rPr>
        <w:t>委托代理人（签字）（或个人CA签章）：</w:t>
      </w:r>
      <w:r>
        <w:rPr>
          <w:rFonts w:ascii="Arial" w:hAnsi="Arial" w:cs="Arial"/>
          <w:color w:val="auto"/>
          <w:sz w:val="24"/>
          <w:highlight w:val="none"/>
          <w:u w:val="single"/>
        </w:rPr>
        <w:t xml:space="preserve">        </w:t>
      </w:r>
    </w:p>
    <w:p>
      <w:pPr>
        <w:spacing w:line="288" w:lineRule="auto"/>
        <w:rPr>
          <w:rFonts w:ascii="Arial" w:hAnsi="Arial" w:cs="Arial"/>
          <w:color w:val="auto"/>
          <w:sz w:val="24"/>
          <w:highlight w:val="none"/>
        </w:rPr>
      </w:pPr>
      <w:r>
        <w:rPr>
          <w:rFonts w:ascii="Arial" w:hAnsi="Arial" w:cs="Arial"/>
          <w:color w:val="auto"/>
          <w:sz w:val="24"/>
          <w:highlight w:val="none"/>
        </w:rPr>
        <w:t xml:space="preserve"> 法定代表人（签字）（或个人CA签章）：  </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spacing w:line="288" w:lineRule="auto"/>
        <w:rPr>
          <w:rFonts w:ascii="Arial" w:hAnsi="Arial" w:cs="Arial"/>
          <w:color w:val="auto"/>
          <w:sz w:val="24"/>
          <w:highlight w:val="none"/>
        </w:rPr>
      </w:pPr>
      <w:r>
        <w:rPr>
          <w:rFonts w:ascii="Arial" w:hAnsi="Arial" w:cs="Arial"/>
          <w:color w:val="auto"/>
          <w:sz w:val="24"/>
          <w:highlight w:val="none"/>
        </w:rPr>
        <w:t>委托代理人身份证号码：</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spacing w:line="288" w:lineRule="auto"/>
        <w:rPr>
          <w:rFonts w:ascii="Arial" w:hAnsi="Arial" w:cs="Arial"/>
          <w:color w:val="auto"/>
          <w:sz w:val="24"/>
          <w:highlight w:val="none"/>
        </w:rPr>
      </w:pPr>
      <w:r>
        <w:rPr>
          <w:rFonts w:ascii="Arial" w:hAnsi="Arial" w:cs="Arial"/>
          <w:color w:val="auto"/>
          <w:sz w:val="24"/>
          <w:highlight w:val="none"/>
        </w:rPr>
        <w:t xml:space="preserve">                                </w:t>
      </w:r>
    </w:p>
    <w:p>
      <w:pPr>
        <w:spacing w:line="288" w:lineRule="auto"/>
        <w:rPr>
          <w:rFonts w:ascii="Arial" w:hAnsi="Arial" w:cs="Arial"/>
          <w:color w:val="auto"/>
          <w:sz w:val="24"/>
          <w:highlight w:val="none"/>
          <w:u w:val="single"/>
        </w:rPr>
      </w:pPr>
      <w:r>
        <w:rPr>
          <w:rFonts w:ascii="Arial" w:hAnsi="Arial" w:cs="Arial"/>
          <w:color w:val="auto"/>
          <w:sz w:val="24"/>
          <w:highlight w:val="none"/>
        </w:rPr>
        <w:t xml:space="preserve">                       供应商[公章（CA签章）]：</w:t>
      </w:r>
      <w:r>
        <w:rPr>
          <w:rFonts w:ascii="Arial" w:hAnsi="Arial" w:cs="Arial"/>
          <w:color w:val="auto"/>
          <w:sz w:val="24"/>
          <w:highlight w:val="none"/>
          <w:u w:val="single"/>
        </w:rPr>
        <w:t xml:space="preserve">                       </w:t>
      </w:r>
    </w:p>
    <w:p>
      <w:pPr>
        <w:spacing w:line="288" w:lineRule="auto"/>
        <w:rPr>
          <w:rFonts w:ascii="Arial" w:hAnsi="Arial" w:cs="Arial"/>
          <w:color w:val="auto"/>
          <w:sz w:val="24"/>
          <w:highlight w:val="none"/>
        </w:rPr>
      </w:pPr>
      <w:r>
        <w:rPr>
          <w:rFonts w:ascii="Arial" w:hAnsi="Arial" w:cs="Arial"/>
          <w:color w:val="auto"/>
          <w:sz w:val="24"/>
          <w:highlight w:val="none"/>
        </w:rPr>
        <w:t xml:space="preserve">                               </w:t>
      </w:r>
      <w:r>
        <w:rPr>
          <w:rFonts w:ascii="Arial" w:hAnsi="Arial" w:cs="Arial"/>
          <w:color w:val="auto"/>
          <w:sz w:val="24"/>
          <w:highlight w:val="none"/>
          <w:u w:val="single"/>
        </w:rPr>
        <w:t xml:space="preserve">          年    月    </w:t>
      </w:r>
      <w:r>
        <w:rPr>
          <w:rFonts w:ascii="Arial" w:hAnsi="Arial" w:cs="Arial"/>
          <w:color w:val="auto"/>
          <w:sz w:val="24"/>
          <w:highlight w:val="none"/>
        </w:rPr>
        <w:t>日</w:t>
      </w:r>
    </w:p>
    <w:p>
      <w:pPr>
        <w:spacing w:line="288" w:lineRule="auto"/>
        <w:rPr>
          <w:rFonts w:ascii="Arial" w:hAnsi="Arial" w:cs="Arial"/>
          <w:color w:val="auto"/>
          <w:sz w:val="24"/>
          <w:highlight w:val="none"/>
        </w:rPr>
      </w:pPr>
    </w:p>
    <w:p>
      <w:pPr>
        <w:spacing w:line="288" w:lineRule="auto"/>
        <w:rPr>
          <w:rFonts w:ascii="Arial" w:hAnsi="Arial" w:eastAsia="仿宋_GB2312" w:cs="Arial"/>
          <w:color w:val="auto"/>
          <w:szCs w:val="21"/>
          <w:highlight w:val="none"/>
        </w:rPr>
      </w:pPr>
      <w:r>
        <w:rPr>
          <w:rFonts w:ascii="Arial" w:hAnsi="Arial" w:cs="Arial"/>
          <w:color w:val="auto"/>
          <w:sz w:val="24"/>
          <w:highlight w:val="none"/>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288" w:lineRule="auto"/>
        <w:jc w:val="left"/>
        <w:rPr>
          <w:rFonts w:ascii="Arial" w:hAnsi="Arial" w:eastAsia="仿宋_GB2312" w:cs="Arial"/>
          <w:color w:val="auto"/>
          <w:szCs w:val="21"/>
          <w:highlight w:val="none"/>
        </w:rPr>
      </w:pPr>
    </w:p>
    <w:p>
      <w:pPr>
        <w:pStyle w:val="13"/>
        <w:spacing w:line="288" w:lineRule="auto"/>
        <w:ind w:firstLine="640" w:firstLineChars="200"/>
        <w:rPr>
          <w:rFonts w:ascii="Arial" w:hAnsi="Arial" w:cs="Arial"/>
          <w:b/>
          <w:bCs/>
          <w:color w:val="auto"/>
          <w:highlight w:val="none"/>
        </w:rPr>
      </w:pPr>
      <w:r>
        <w:rPr>
          <w:rFonts w:ascii="Arial" w:hAnsi="Arial" w:eastAsia="仿宋_GB2312" w:cs="Arial"/>
          <w:color w:val="auto"/>
          <w:sz w:val="32"/>
          <w:szCs w:val="32"/>
          <w:highlight w:val="none"/>
        </w:rPr>
        <w:br w:type="page"/>
      </w:r>
      <w:r>
        <w:rPr>
          <w:rFonts w:ascii="Arial" w:hAnsi="Arial" w:cs="Arial"/>
          <w:b/>
          <w:bCs/>
          <w:color w:val="auto"/>
          <w:highlight w:val="none"/>
        </w:rPr>
        <w:t>4.</w:t>
      </w:r>
      <w:r>
        <w:rPr>
          <w:rFonts w:ascii="Arial" w:hAnsi="Arial" w:cs="Arial"/>
          <w:b/>
          <w:bCs/>
          <w:color w:val="auto"/>
          <w:szCs w:val="21"/>
          <w:highlight w:val="none"/>
        </w:rPr>
        <w:t>对采购需求的响应偏离表</w:t>
      </w:r>
      <w:r>
        <w:rPr>
          <w:rFonts w:ascii="Arial" w:hAnsi="Arial" w:cs="Arial"/>
          <w:b/>
          <w:bCs/>
          <w:color w:val="auto"/>
          <w:highlight w:val="none"/>
        </w:rPr>
        <w:t>；（必须提供，否则响应文件按无效响应处理）</w:t>
      </w:r>
    </w:p>
    <w:p>
      <w:pPr>
        <w:snapToGrid w:val="0"/>
        <w:spacing w:before="50" w:after="156" w:afterLines="50" w:line="440" w:lineRule="exact"/>
        <w:jc w:val="center"/>
        <w:rPr>
          <w:rFonts w:ascii="Arial" w:hAnsi="Arial" w:cs="Arial"/>
          <w:color w:val="auto"/>
          <w:szCs w:val="21"/>
          <w:highlight w:val="none"/>
        </w:rPr>
      </w:pPr>
      <w:r>
        <w:rPr>
          <w:rFonts w:ascii="Arial" w:hAnsi="Arial" w:cs="Arial"/>
          <w:b/>
          <w:color w:val="auto"/>
          <w:szCs w:val="21"/>
          <w:highlight w:val="none"/>
        </w:rPr>
        <w:t>对采购需求的响应偏离表（</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磋商文件的采购需求</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响应文件响应内容（可注明所在页码）</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Arial" w:hAnsi="Arial" w:cs="Arial"/>
                <w:color w:val="auto"/>
                <w:szCs w:val="21"/>
                <w:highlight w:val="none"/>
              </w:rPr>
            </w:pPr>
          </w:p>
        </w:tc>
      </w:tr>
    </w:tbl>
    <w:p>
      <w:pPr>
        <w:pStyle w:val="21"/>
        <w:tabs>
          <w:tab w:val="left" w:pos="2127"/>
        </w:tabs>
        <w:spacing w:line="340" w:lineRule="exact"/>
        <w:ind w:firstLine="400" w:firstLineChars="200"/>
        <w:jc w:val="left"/>
        <w:rPr>
          <w:rFonts w:ascii="Arial" w:hAnsi="Arial" w:cs="Arial"/>
          <w:color w:val="auto"/>
          <w:highlight w:val="none"/>
        </w:rPr>
      </w:pPr>
      <w:r>
        <w:rPr>
          <w:rFonts w:ascii="Arial" w:hAnsi="Arial" w:cs="Arial"/>
          <w:color w:val="auto"/>
          <w:highlight w:val="none"/>
        </w:rPr>
        <w:t>注：（1）本表应对磋商文件第三章《采购需求》中所列</w:t>
      </w:r>
      <w:r>
        <w:rPr>
          <w:rFonts w:ascii="Arial" w:hAnsi="Arial" w:cs="Arial"/>
          <w:b/>
          <w:bCs/>
          <w:color w:val="auto"/>
          <w:highlight w:val="none"/>
        </w:rPr>
        <w:t>采购需求</w:t>
      </w:r>
      <w:r>
        <w:rPr>
          <w:rFonts w:ascii="Arial" w:hAnsi="Arial" w:cs="Arial"/>
          <w:color w:val="auto"/>
          <w:highlight w:val="none"/>
        </w:rPr>
        <w:t>进行响应；</w:t>
      </w:r>
    </w:p>
    <w:p>
      <w:pPr>
        <w:pStyle w:val="21"/>
        <w:tabs>
          <w:tab w:val="left" w:pos="2127"/>
        </w:tabs>
        <w:spacing w:line="340" w:lineRule="exact"/>
        <w:ind w:firstLine="400" w:firstLineChars="200"/>
        <w:jc w:val="left"/>
        <w:rPr>
          <w:rFonts w:ascii="Arial" w:hAnsi="Arial" w:cs="Arial"/>
          <w:color w:val="auto"/>
          <w:highlight w:val="none"/>
        </w:rPr>
      </w:pPr>
      <w:bookmarkStart w:id="42" w:name="_Hlk19049081"/>
      <w:r>
        <w:rPr>
          <w:rFonts w:ascii="Arial" w:hAnsi="Arial" w:cs="Arial"/>
          <w:color w:val="auto"/>
          <w:highlight w:val="none"/>
        </w:rPr>
        <w:t>（2）本表内容必须如实填写，并根据响应情况在“偏离说明”栏填写正偏离或负偏离及原因，完全符合的填写“无偏离”。填写“无偏离”时，如相应条款在响应文件其他部分描述明确不满足磋商文件要求时，磋商小组将按不满足要求进行评审。</w:t>
      </w:r>
    </w:p>
    <w:bookmarkEnd w:id="42"/>
    <w:p>
      <w:pPr>
        <w:pStyle w:val="21"/>
        <w:tabs>
          <w:tab w:val="left" w:pos="2127"/>
        </w:tabs>
        <w:spacing w:line="340" w:lineRule="exact"/>
        <w:ind w:firstLine="400" w:firstLineChars="200"/>
        <w:jc w:val="left"/>
        <w:rPr>
          <w:rFonts w:ascii="Arial" w:hAnsi="Arial" w:cs="Arial"/>
          <w:color w:val="auto"/>
          <w:highlight w:val="none"/>
        </w:rPr>
      </w:pPr>
      <w:r>
        <w:rPr>
          <w:rFonts w:ascii="Arial" w:hAnsi="Arial" w:cs="Arial"/>
          <w:color w:val="auto"/>
          <w:highlight w:val="none"/>
        </w:rPr>
        <w:t>（3）本表可扩展。</w:t>
      </w:r>
    </w:p>
    <w:p>
      <w:pPr>
        <w:snapToGrid w:val="0"/>
        <w:spacing w:before="50" w:after="50"/>
        <w:rPr>
          <w:rFonts w:ascii="Arial" w:hAnsi="Arial" w:cs="Arial"/>
          <w:color w:val="auto"/>
          <w:spacing w:val="20"/>
          <w:szCs w:val="21"/>
          <w:highlight w:val="none"/>
          <w:u w:val="single"/>
        </w:rPr>
      </w:pPr>
      <w:r>
        <w:rPr>
          <w:rFonts w:ascii="Arial" w:hAnsi="Arial" w:cs="Arial"/>
          <w:color w:val="auto"/>
          <w:highlight w:val="none"/>
        </w:rPr>
        <w:t>法定代表人或授权代表签字或</w:t>
      </w:r>
      <w:r>
        <w:rPr>
          <w:rFonts w:ascii="Arial" w:hAnsi="Arial" w:cs="Arial"/>
          <w:color w:val="auto"/>
          <w:szCs w:val="21"/>
          <w:highlight w:val="none"/>
        </w:rPr>
        <w:t>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snapToGrid w:val="0"/>
        <w:spacing w:before="50" w:after="156" w:afterLines="50"/>
        <w:jc w:val="left"/>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pPr>
        <w:snapToGrid w:val="0"/>
        <w:spacing w:before="50" w:after="156" w:afterLines="50"/>
        <w:jc w:val="left"/>
        <w:rPr>
          <w:rFonts w:ascii="Arial" w:hAnsi="Arial" w:cs="Arial"/>
          <w:strike/>
          <w:color w:val="auto"/>
          <w:szCs w:val="21"/>
          <w:highlight w:val="none"/>
        </w:rPr>
      </w:pPr>
      <w:r>
        <w:rPr>
          <w:rFonts w:ascii="Arial" w:hAnsi="Arial" w:cs="Arial"/>
          <w:color w:val="auto"/>
          <w:spacing w:val="20"/>
          <w:szCs w:val="21"/>
          <w:highlight w:val="none"/>
        </w:rPr>
        <w:t>日  期：</w:t>
      </w:r>
    </w:p>
    <w:p>
      <w:pPr>
        <w:pStyle w:val="13"/>
        <w:spacing w:line="288" w:lineRule="auto"/>
        <w:rPr>
          <w:rFonts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ascii="Arial" w:hAnsi="Arial" w:cs="Arial"/>
          <w:b/>
          <w:bCs/>
          <w:color w:val="auto"/>
          <w:highlight w:val="none"/>
        </w:rPr>
        <w:t>5.</w:t>
      </w:r>
      <w:r>
        <w:rPr>
          <w:rFonts w:hint="eastAsia" w:ascii="Arial" w:hAnsi="Arial" w:cs="Arial"/>
          <w:b/>
          <w:bCs/>
          <w:color w:val="auto"/>
          <w:highlight w:val="none"/>
        </w:rPr>
        <w:t>项目理解（如有请提供，格式自拟）</w:t>
      </w:r>
    </w:p>
    <w:p>
      <w:pPr>
        <w:pStyle w:val="13"/>
        <w:spacing w:line="288" w:lineRule="auto"/>
        <w:ind w:firstLine="422" w:firstLineChars="200"/>
        <w:rPr>
          <w:rFonts w:hint="eastAsia"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6.医疗工艺咨询方案（如有请提供，格式自拟）</w:t>
      </w:r>
    </w:p>
    <w:p>
      <w:pPr>
        <w:pStyle w:val="13"/>
        <w:spacing w:line="288" w:lineRule="auto"/>
        <w:ind w:firstLine="422" w:firstLineChars="200"/>
        <w:rPr>
          <w:rFonts w:hint="eastAsia"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7.项目重点及难点分析及应对措施（如有请提供，格式自拟）</w:t>
      </w:r>
    </w:p>
    <w:p>
      <w:pPr>
        <w:pStyle w:val="13"/>
        <w:spacing w:line="288" w:lineRule="auto"/>
        <w:ind w:firstLine="422" w:firstLineChars="200"/>
        <w:rPr>
          <w:rFonts w:hint="eastAsia" w:ascii="Arial" w:hAnsi="Arial" w:cs="Arial"/>
          <w:b/>
          <w:bCs/>
          <w:color w:val="auto"/>
          <w:highlight w:val="none"/>
          <w:lang w:val="en-US" w:eastAsia="zh-CN"/>
        </w:rPr>
      </w:pPr>
    </w:p>
    <w:p>
      <w:pPr>
        <w:pStyle w:val="13"/>
        <w:numPr>
          <w:ilvl w:val="0"/>
          <w:numId w:val="0"/>
        </w:numPr>
        <w:spacing w:line="288" w:lineRule="auto"/>
        <w:ind w:firstLine="422" w:firstLineChars="200"/>
        <w:rPr>
          <w:rFonts w:hint="eastAsia" w:ascii="Arial" w:hAnsi="Arial" w:cs="Arial"/>
          <w:b/>
          <w:bCs/>
          <w:color w:val="auto"/>
          <w:highlight w:val="none"/>
          <w:lang w:val="en-US" w:eastAsia="zh-CN"/>
        </w:rPr>
      </w:pPr>
      <w:r>
        <w:rPr>
          <w:rFonts w:hint="eastAsia" w:ascii="Arial" w:hAnsi="Arial" w:cs="Arial"/>
          <w:b/>
          <w:bCs/>
          <w:color w:val="auto"/>
          <w:highlight w:val="none"/>
          <w:lang w:val="en-US" w:eastAsia="zh-CN"/>
        </w:rPr>
        <w:t>8.工作进度安排及保证措施（如有请提供，格式自拟）</w:t>
      </w:r>
    </w:p>
    <w:p>
      <w:pPr>
        <w:pStyle w:val="13"/>
        <w:spacing w:line="288" w:lineRule="auto"/>
        <w:rPr>
          <w:rFonts w:hint="eastAsia"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lang w:val="en-US" w:eastAsia="zh-CN"/>
        </w:rPr>
        <w:t>9</w:t>
      </w:r>
      <w:r>
        <w:rPr>
          <w:rFonts w:hint="eastAsia" w:ascii="Arial" w:hAnsi="Arial" w:cs="Arial"/>
          <w:b/>
          <w:bCs/>
          <w:color w:val="auto"/>
          <w:highlight w:val="none"/>
        </w:rPr>
        <w:t>.与采购人及各单位的协同配合方案（如有请提供，格式自拟）</w:t>
      </w:r>
    </w:p>
    <w:p>
      <w:pPr>
        <w:pStyle w:val="13"/>
        <w:spacing w:line="288" w:lineRule="auto"/>
        <w:ind w:firstLine="0" w:firstLineChars="0"/>
        <w:rPr>
          <w:rFonts w:hint="eastAsia"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lang w:val="en-US" w:eastAsia="zh-CN"/>
        </w:rPr>
        <w:t>10</w:t>
      </w:r>
      <w:r>
        <w:rPr>
          <w:rFonts w:hint="eastAsia" w:ascii="Arial" w:hAnsi="Arial" w:cs="Arial"/>
          <w:b/>
          <w:bCs/>
          <w:color w:val="auto"/>
          <w:highlight w:val="none"/>
        </w:rPr>
        <w:t>.企业认证（如有请提供，格式自拟）</w:t>
      </w:r>
    </w:p>
    <w:p>
      <w:pPr>
        <w:pStyle w:val="13"/>
        <w:spacing w:line="288" w:lineRule="auto"/>
        <w:ind w:firstLine="422" w:firstLineChars="200"/>
        <w:rPr>
          <w:rFonts w:hint="eastAsia" w:ascii="Arial" w:hAnsi="Arial" w:cs="Arial"/>
          <w:b/>
          <w:bCs/>
          <w:color w:val="auto"/>
          <w:highlight w:val="none"/>
        </w:rPr>
      </w:pPr>
    </w:p>
    <w:p>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1</w:t>
      </w:r>
      <w:r>
        <w:rPr>
          <w:rFonts w:hint="eastAsia" w:ascii="Arial" w:hAnsi="Arial" w:cs="Arial"/>
          <w:b/>
          <w:bCs/>
          <w:color w:val="auto"/>
          <w:highlight w:val="none"/>
          <w:lang w:val="en-US" w:eastAsia="zh-CN"/>
        </w:rPr>
        <w:t>1</w:t>
      </w:r>
      <w:r>
        <w:rPr>
          <w:rFonts w:hint="eastAsia" w:ascii="Arial" w:hAnsi="Arial" w:cs="Arial"/>
          <w:b/>
          <w:bCs/>
          <w:color w:val="auto"/>
          <w:highlight w:val="none"/>
        </w:rPr>
        <w:t>.服务团队配置（如有请提供，格式自拟）</w:t>
      </w:r>
    </w:p>
    <w:p>
      <w:pPr>
        <w:pStyle w:val="13"/>
        <w:spacing w:line="288" w:lineRule="auto"/>
        <w:ind w:firstLine="422" w:firstLineChars="200"/>
        <w:rPr>
          <w:rFonts w:hint="eastAsia"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hint="eastAsia" w:ascii="Arial" w:hAnsi="Arial" w:cs="Arial"/>
          <w:b/>
          <w:bCs/>
          <w:color w:val="auto"/>
          <w:highlight w:val="none"/>
        </w:rPr>
        <w:t>1</w:t>
      </w:r>
      <w:r>
        <w:rPr>
          <w:rFonts w:hint="eastAsia" w:ascii="Arial" w:hAnsi="Arial" w:cs="Arial"/>
          <w:b/>
          <w:bCs/>
          <w:color w:val="auto"/>
          <w:highlight w:val="none"/>
          <w:lang w:val="en-US" w:eastAsia="zh-CN"/>
        </w:rPr>
        <w:t>2</w:t>
      </w:r>
      <w:r>
        <w:rPr>
          <w:rFonts w:hint="eastAsia" w:ascii="Arial" w:hAnsi="Arial" w:cs="Arial"/>
          <w:b/>
          <w:bCs/>
          <w:color w:val="auto"/>
          <w:highlight w:val="none"/>
        </w:rPr>
        <w:t>.同类项目业绩（如有请提供，格式自拟）</w:t>
      </w:r>
    </w:p>
    <w:p>
      <w:pPr>
        <w:pStyle w:val="13"/>
        <w:spacing w:line="288" w:lineRule="auto"/>
        <w:ind w:firstLine="422" w:firstLineChars="200"/>
        <w:rPr>
          <w:rFonts w:ascii="Arial" w:hAnsi="Arial" w:cs="Arial"/>
          <w:b/>
          <w:bCs/>
          <w:color w:val="auto"/>
          <w:highlight w:val="none"/>
        </w:rPr>
      </w:pPr>
    </w:p>
    <w:p>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1</w:t>
      </w:r>
      <w:r>
        <w:rPr>
          <w:rFonts w:hint="eastAsia" w:ascii="Arial" w:hAnsi="Arial" w:cs="Arial"/>
          <w:b/>
          <w:bCs/>
          <w:color w:val="auto"/>
          <w:highlight w:val="none"/>
          <w:lang w:val="en-US" w:eastAsia="zh-CN"/>
        </w:rPr>
        <w:t>3</w:t>
      </w:r>
      <w:r>
        <w:rPr>
          <w:rFonts w:ascii="Arial" w:hAnsi="Arial" w:cs="Arial"/>
          <w:b/>
          <w:bCs/>
          <w:color w:val="auto"/>
          <w:highlight w:val="none"/>
        </w:rPr>
        <w:t>.供应商认为需要提供的其他有关资料。</w:t>
      </w:r>
    </w:p>
    <w:p>
      <w:pPr>
        <w:snapToGrid w:val="0"/>
        <w:spacing w:before="156" w:beforeLines="50" w:after="50" w:line="288" w:lineRule="auto"/>
        <w:ind w:right="480" w:firstLine="440" w:firstLineChars="100"/>
        <w:rPr>
          <w:rFonts w:ascii="Arial" w:hAnsi="Arial" w:cs="Arial"/>
          <w:b/>
          <w:color w:val="auto"/>
          <w:sz w:val="32"/>
          <w:szCs w:val="32"/>
          <w:highlight w:val="none"/>
        </w:rPr>
      </w:pPr>
      <w:r>
        <w:rPr>
          <w:rFonts w:ascii="Arial" w:hAnsi="Arial" w:eastAsia="方正小标宋简体" w:cs="Arial"/>
          <w:color w:val="auto"/>
          <w:sz w:val="44"/>
          <w:szCs w:val="44"/>
          <w:highlight w:val="none"/>
        </w:rPr>
        <w:br w:type="page"/>
      </w:r>
      <w:r>
        <w:rPr>
          <w:rFonts w:ascii="Arial" w:hAnsi="Arial" w:cs="Arial"/>
          <w:b/>
          <w:color w:val="auto"/>
          <w:sz w:val="32"/>
          <w:szCs w:val="32"/>
          <w:highlight w:val="none"/>
        </w:rPr>
        <w:t xml:space="preserve">三、报价文件格式 </w:t>
      </w:r>
    </w:p>
    <w:p>
      <w:pPr>
        <w:snapToGrid w:val="0"/>
        <w:spacing w:before="156" w:beforeLines="50" w:after="50" w:line="288" w:lineRule="auto"/>
        <w:jc w:val="left"/>
        <w:rPr>
          <w:rFonts w:ascii="Arial" w:hAnsi="Arial" w:cs="Arial"/>
          <w:b/>
          <w:color w:val="auto"/>
          <w:sz w:val="32"/>
          <w:szCs w:val="32"/>
          <w:highlight w:val="none"/>
        </w:rPr>
      </w:pPr>
      <w:r>
        <w:rPr>
          <w:rFonts w:ascii="Arial" w:hAnsi="Arial" w:cs="Arial"/>
          <w:b/>
          <w:color w:val="auto"/>
          <w:sz w:val="32"/>
          <w:szCs w:val="32"/>
          <w:highlight w:val="none"/>
        </w:rPr>
        <w:t>封面格式</w:t>
      </w:r>
    </w:p>
    <w:p>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rPr>
          <w:rFonts w:ascii="Arial" w:hAnsi="Arial" w:cs="Arial"/>
          <w:color w:val="auto"/>
          <w:sz w:val="24"/>
          <w:szCs w:val="20"/>
          <w:highlight w:val="none"/>
        </w:rPr>
      </w:pPr>
    </w:p>
    <w:p>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报价文件</w:t>
      </w: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rPr>
          <w:rFonts w:ascii="Arial" w:hAnsi="Arial" w:cs="Arial"/>
          <w:bCs/>
          <w:color w:val="auto"/>
          <w:sz w:val="24"/>
          <w:szCs w:val="20"/>
          <w:highlight w:val="none"/>
        </w:rPr>
      </w:pP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pPr>
        <w:pStyle w:val="7"/>
        <w:snapToGrid w:val="0"/>
        <w:spacing w:before="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pPr>
        <w:pStyle w:val="7"/>
        <w:snapToGrid w:val="0"/>
        <w:spacing w:before="50" w:after="50" w:line="288" w:lineRule="auto"/>
        <w:ind w:firstLine="720" w:firstLineChars="225"/>
        <w:rPr>
          <w:rFonts w:ascii="Arial" w:hAnsi="Arial" w:eastAsia="仿宋_GB2312" w:cs="Arial"/>
          <w:bCs/>
          <w:color w:val="auto"/>
          <w:sz w:val="32"/>
          <w:szCs w:val="32"/>
          <w:highlight w:val="none"/>
        </w:rPr>
      </w:pPr>
    </w:p>
    <w:p>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日期：年    月    日</w:t>
      </w:r>
    </w:p>
    <w:p>
      <w:pPr>
        <w:pStyle w:val="13"/>
        <w:spacing w:line="288" w:lineRule="auto"/>
        <w:rPr>
          <w:rFonts w:ascii="Arial" w:hAnsi="Arial" w:cs="Arial"/>
          <w:b/>
          <w:bCs/>
          <w:color w:val="auto"/>
          <w:highlight w:val="none"/>
        </w:rPr>
      </w:pPr>
      <w:r>
        <w:rPr>
          <w:rFonts w:ascii="Arial" w:hAnsi="Arial" w:cs="Arial"/>
          <w:color w:val="auto"/>
          <w:sz w:val="24"/>
          <w:highlight w:val="none"/>
        </w:rPr>
        <w:br w:type="page"/>
      </w:r>
      <w:r>
        <w:rPr>
          <w:rFonts w:ascii="Arial" w:hAnsi="Arial" w:cs="Arial"/>
          <w:color w:val="auto"/>
          <w:sz w:val="24"/>
          <w:highlight w:val="none"/>
        </w:rPr>
        <w:t xml:space="preserve">   </w:t>
      </w:r>
      <w:r>
        <w:rPr>
          <w:rFonts w:ascii="Arial" w:hAnsi="Arial" w:cs="Arial"/>
          <w:b/>
          <w:bCs/>
          <w:color w:val="auto"/>
          <w:highlight w:val="none"/>
        </w:rPr>
        <w:t xml:space="preserve"> 1.响应函；（必须提供，否则响应文件按无效响应处理）</w:t>
      </w:r>
    </w:p>
    <w:p>
      <w:pPr>
        <w:jc w:val="center"/>
        <w:rPr>
          <w:rFonts w:ascii="Arial" w:hAnsi="Arial" w:cs="Arial"/>
          <w:b/>
          <w:color w:val="auto"/>
          <w:szCs w:val="21"/>
          <w:highlight w:val="none"/>
        </w:rPr>
      </w:pPr>
    </w:p>
    <w:p>
      <w:pPr>
        <w:jc w:val="center"/>
        <w:rPr>
          <w:rFonts w:ascii="Arial" w:hAnsi="Arial" w:cs="Arial"/>
          <w:b/>
          <w:color w:val="auto"/>
          <w:szCs w:val="21"/>
          <w:highlight w:val="none"/>
        </w:rPr>
      </w:pPr>
      <w:r>
        <w:rPr>
          <w:rFonts w:ascii="Arial" w:hAnsi="Arial" w:cs="Arial"/>
          <w:b/>
          <w:color w:val="auto"/>
          <w:szCs w:val="21"/>
          <w:highlight w:val="none"/>
        </w:rPr>
        <w:t>响 应 函</w:t>
      </w:r>
    </w:p>
    <w:p>
      <w:pPr>
        <w:rPr>
          <w:rFonts w:ascii="Arial" w:hAnsi="Arial" w:cs="Arial"/>
          <w:b/>
          <w:color w:val="auto"/>
          <w:szCs w:val="21"/>
          <w:highlight w:val="none"/>
        </w:rPr>
      </w:pPr>
    </w:p>
    <w:p>
      <w:pPr>
        <w:spacing w:line="360" w:lineRule="auto"/>
        <w:rPr>
          <w:rFonts w:ascii="Arial" w:hAnsi="Arial" w:cs="Arial"/>
          <w:color w:val="auto"/>
          <w:szCs w:val="21"/>
          <w:highlight w:val="none"/>
        </w:rPr>
      </w:pPr>
      <w:bookmarkStart w:id="43" w:name="_Hlk19110643"/>
      <w:r>
        <w:rPr>
          <w:rFonts w:ascii="Arial" w:hAnsi="Arial" w:cs="Arial"/>
          <w:color w:val="auto"/>
          <w:szCs w:val="21"/>
          <w:highlight w:val="none"/>
        </w:rPr>
        <w:t>致：_</w:t>
      </w:r>
      <w:r>
        <w:rPr>
          <w:rFonts w:ascii="Arial" w:hAnsi="Arial" w:cs="Arial"/>
          <w:i/>
          <w:iCs/>
          <w:color w:val="auto"/>
          <w:szCs w:val="21"/>
          <w:highlight w:val="none"/>
          <w:u w:val="single"/>
        </w:rPr>
        <w:t>（采购人名称）</w:t>
      </w:r>
      <w:r>
        <w:rPr>
          <w:rFonts w:ascii="Arial" w:hAnsi="Arial" w:cs="Arial"/>
          <w:i/>
          <w:iCs/>
          <w:color w:val="auto"/>
          <w:szCs w:val="21"/>
          <w:highlight w:val="none"/>
        </w:rPr>
        <w:t>_</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r>
        <w:rPr>
          <w:rFonts w:ascii="Arial" w:hAnsi="Arial" w:cs="Arial"/>
          <w:i/>
          <w:iCs/>
          <w:color w:val="auto"/>
          <w:szCs w:val="21"/>
          <w:highlight w:val="none"/>
          <w:u w:val="single"/>
        </w:rPr>
        <w:t>（项目名称）</w:t>
      </w:r>
      <w:r>
        <w:rPr>
          <w:rFonts w:ascii="Arial" w:hAnsi="Arial" w:cs="Arial"/>
          <w:color w:val="auto"/>
          <w:szCs w:val="21"/>
          <w:highlight w:val="none"/>
        </w:rPr>
        <w:t>的采购文件的全部内容，签字代表</w:t>
      </w:r>
      <w:r>
        <w:rPr>
          <w:rFonts w:ascii="Arial" w:hAnsi="Arial" w:cs="Arial"/>
          <w:i/>
          <w:iCs/>
          <w:color w:val="auto"/>
          <w:szCs w:val="21"/>
          <w:highlight w:val="none"/>
          <w:u w:val="single"/>
        </w:rPr>
        <w:t>（授权代表姓名）</w:t>
      </w:r>
      <w:r>
        <w:rPr>
          <w:rFonts w:ascii="Arial" w:hAnsi="Arial" w:cs="Arial"/>
          <w:color w:val="auto"/>
          <w:szCs w:val="21"/>
          <w:highlight w:val="none"/>
        </w:rPr>
        <w:t>经正式授权并代表供应商</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（供应商名称） </w:t>
      </w:r>
      <w:r>
        <w:rPr>
          <w:rFonts w:ascii="Arial" w:hAnsi="Arial" w:cs="Arial"/>
          <w:color w:val="auto"/>
          <w:szCs w:val="21"/>
          <w:highlight w:val="none"/>
        </w:rPr>
        <w:t>提交响应文件。</w:t>
      </w:r>
    </w:p>
    <w:bookmarkEnd w:id="43"/>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据此函，签字代表宣布同意如下：</w:t>
      </w:r>
    </w:p>
    <w:p>
      <w:pPr>
        <w:spacing w:line="360" w:lineRule="auto"/>
        <w:rPr>
          <w:rFonts w:ascii="Arial" w:hAnsi="Arial" w:cs="Arial"/>
          <w:color w:val="auto"/>
          <w:szCs w:val="21"/>
          <w:highlight w:val="none"/>
        </w:rPr>
      </w:pPr>
      <w:r>
        <w:rPr>
          <w:rFonts w:ascii="Arial" w:hAnsi="Arial"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pPr>
        <w:spacing w:line="360" w:lineRule="auto"/>
        <w:rPr>
          <w:rFonts w:ascii="Arial" w:hAnsi="Arial" w:cs="Arial"/>
          <w:color w:val="auto"/>
          <w:szCs w:val="21"/>
          <w:highlight w:val="none"/>
        </w:rPr>
      </w:pPr>
      <w:r>
        <w:rPr>
          <w:rFonts w:ascii="Arial" w:hAnsi="Arial" w:cs="Arial"/>
          <w:color w:val="auto"/>
          <w:szCs w:val="21"/>
          <w:highlight w:val="none"/>
        </w:rPr>
        <w:t>（2）供应商在响应之前已经与贵方进行了充分的沟通，完全理解并接受采购文件的各项规定和要求，对采购文件的合理性、合法性不再有异议。</w:t>
      </w:r>
    </w:p>
    <w:p>
      <w:pPr>
        <w:spacing w:line="360" w:lineRule="auto"/>
        <w:rPr>
          <w:rFonts w:ascii="Arial" w:hAnsi="Arial" w:cs="Arial"/>
          <w:color w:val="auto"/>
          <w:szCs w:val="21"/>
          <w:highlight w:val="none"/>
        </w:rPr>
      </w:pPr>
      <w:r>
        <w:rPr>
          <w:rFonts w:ascii="Arial" w:hAnsi="Arial" w:cs="Arial"/>
          <w:color w:val="auto"/>
          <w:szCs w:val="21"/>
          <w:highlight w:val="none"/>
        </w:rPr>
        <w:t>（3）我方承诺本响应有效期为第二章供应商须知规定的期限。</w:t>
      </w:r>
    </w:p>
    <w:p>
      <w:pPr>
        <w:spacing w:line="360" w:lineRule="auto"/>
        <w:rPr>
          <w:rFonts w:ascii="Arial" w:hAnsi="Arial" w:cs="Arial"/>
          <w:color w:val="auto"/>
          <w:szCs w:val="21"/>
          <w:highlight w:val="none"/>
        </w:rPr>
      </w:pPr>
      <w:r>
        <w:rPr>
          <w:rFonts w:ascii="Arial" w:hAnsi="Arial" w:cs="Arial"/>
          <w:color w:val="auto"/>
          <w:szCs w:val="21"/>
          <w:highlight w:val="none"/>
        </w:rPr>
        <w:t>（4）如成交，本响应文件至本项目合同履行完毕止均保持有效，本供应商将按“采购文件”及政府采购法律、法规的规定履行合同责任和义务，并承诺不分包及转包他人。</w:t>
      </w:r>
    </w:p>
    <w:p>
      <w:pPr>
        <w:spacing w:line="360" w:lineRule="auto"/>
        <w:rPr>
          <w:rFonts w:ascii="Arial" w:hAnsi="Arial" w:cs="Arial"/>
          <w:color w:val="auto"/>
          <w:szCs w:val="21"/>
          <w:highlight w:val="none"/>
        </w:rPr>
      </w:pPr>
      <w:r>
        <w:rPr>
          <w:rFonts w:ascii="Arial" w:hAnsi="Arial" w:cs="Arial"/>
          <w:color w:val="auto"/>
          <w:szCs w:val="21"/>
          <w:highlight w:val="none"/>
        </w:rPr>
        <w:t>（5）供应商同意按照贵方要求提供与响应有关的一切数据或资料。</w:t>
      </w:r>
    </w:p>
    <w:p>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w:t>
      </w:r>
      <w:r>
        <w:rPr>
          <w:rFonts w:ascii="Arial" w:hAnsi="Arial" w:cs="Arial"/>
          <w:color w:val="auto"/>
          <w:szCs w:val="21"/>
          <w:highlight w:val="none"/>
          <w:u w:val="single"/>
        </w:rPr>
        <w:t xml:space="preserve">         </w:t>
      </w:r>
      <w:r>
        <w:rPr>
          <w:rFonts w:ascii="Arial" w:hAnsi="Arial" w:cs="Arial"/>
          <w:color w:val="auto"/>
          <w:szCs w:val="21"/>
          <w:highlight w:val="none"/>
        </w:rPr>
        <w:t xml:space="preserve">  电话：</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传真：</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供应商代表姓名</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r>
        <w:rPr>
          <w:rFonts w:ascii="Arial" w:hAnsi="Arial" w:cs="Arial"/>
          <w:color w:val="auto"/>
          <w:szCs w:val="21"/>
          <w:highlight w:val="none"/>
        </w:rPr>
        <w:t>邮箱：</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pPr>
        <w:pStyle w:val="13"/>
        <w:spacing w:line="288" w:lineRule="auto"/>
        <w:ind w:firstLine="422" w:firstLineChars="200"/>
        <w:rPr>
          <w:rFonts w:ascii="Arial" w:hAnsi="Arial" w:cs="Arial"/>
          <w:b/>
          <w:bCs/>
          <w:color w:val="auto"/>
          <w:highlight w:val="none"/>
        </w:rPr>
      </w:pPr>
      <w:r>
        <w:rPr>
          <w:rFonts w:ascii="Arial" w:hAnsi="Arial" w:cs="Arial"/>
          <w:b/>
          <w:bCs/>
          <w:color w:val="auto"/>
          <w:szCs w:val="21"/>
          <w:highlight w:val="none"/>
        </w:rPr>
        <w:br w:type="page"/>
      </w:r>
      <w:r>
        <w:rPr>
          <w:rFonts w:ascii="Arial" w:hAnsi="Arial" w:cs="Arial"/>
          <w:b/>
          <w:bCs/>
          <w:color w:val="auto"/>
          <w:szCs w:val="21"/>
          <w:highlight w:val="none"/>
        </w:rPr>
        <w:t>2.磋商报价明细表</w:t>
      </w:r>
      <w:r>
        <w:rPr>
          <w:rFonts w:ascii="Arial" w:hAnsi="Arial" w:cs="Arial"/>
          <w:b/>
          <w:bCs/>
          <w:color w:val="auto"/>
          <w:highlight w:val="none"/>
        </w:rPr>
        <w:t>；（必须提供，否则响应文件按无效响应处理）</w:t>
      </w:r>
    </w:p>
    <w:p>
      <w:pPr>
        <w:jc w:val="center"/>
        <w:rPr>
          <w:rFonts w:ascii="Arial" w:hAnsi="Arial" w:cs="Arial"/>
          <w:b/>
          <w:bCs/>
          <w:color w:val="auto"/>
          <w:szCs w:val="21"/>
          <w:highlight w:val="none"/>
        </w:rPr>
      </w:pPr>
    </w:p>
    <w:p>
      <w:pPr>
        <w:rPr>
          <w:rFonts w:ascii="Arial" w:hAnsi="Arial" w:cs="Arial"/>
          <w:b/>
          <w:color w:val="auto"/>
          <w:szCs w:val="21"/>
          <w:highlight w:val="none"/>
        </w:rPr>
      </w:pPr>
    </w:p>
    <w:p>
      <w:pPr>
        <w:ind w:firstLine="4111" w:firstLineChars="1950"/>
        <w:rPr>
          <w:rFonts w:ascii="Arial" w:hAnsi="Arial" w:cs="Arial"/>
          <w:color w:val="auto"/>
          <w:szCs w:val="21"/>
          <w:highlight w:val="none"/>
        </w:rPr>
      </w:pPr>
      <w:r>
        <w:rPr>
          <w:rFonts w:ascii="Arial" w:hAnsi="Arial" w:cs="Arial"/>
          <w:b/>
          <w:bCs/>
          <w:color w:val="auto"/>
          <w:szCs w:val="21"/>
          <w:highlight w:val="none"/>
        </w:rPr>
        <w:t>磋商报价明细表</w:t>
      </w:r>
    </w:p>
    <w:p>
      <w:pPr>
        <w:ind w:firstLine="2415" w:firstLineChars="1150"/>
        <w:jc w:val="right"/>
        <w:rPr>
          <w:rFonts w:ascii="Arial" w:hAnsi="Arial" w:cs="Arial"/>
          <w:color w:val="auto"/>
          <w:szCs w:val="21"/>
          <w:highlight w:val="none"/>
        </w:rPr>
      </w:pPr>
      <w:r>
        <w:rPr>
          <w:rFonts w:ascii="Arial" w:hAnsi="Arial" w:cs="Arial"/>
          <w:color w:val="auto"/>
          <w:szCs w:val="21"/>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972"/>
        <w:gridCol w:w="891"/>
        <w:gridCol w:w="952"/>
        <w:gridCol w:w="2535"/>
        <w:gridCol w:w="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r>
              <w:rPr>
                <w:rFonts w:ascii="Arial" w:hAnsi="Arial" w:cs="Arial"/>
                <w:color w:val="auto"/>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服务名称</w:t>
            </w:r>
          </w:p>
        </w:tc>
        <w:tc>
          <w:tcPr>
            <w:tcW w:w="8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单位</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数量</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color w:val="auto"/>
                <w:szCs w:val="21"/>
                <w:highlight w:val="none"/>
              </w:rPr>
            </w:pPr>
            <w:r>
              <w:rPr>
                <w:rFonts w:ascii="Arial" w:hAnsi="Arial" w:cs="Arial"/>
                <w:color w:val="auto"/>
                <w:szCs w:val="21"/>
                <w:highlight w:val="none"/>
              </w:rPr>
              <w:t>磋商</w:t>
            </w:r>
            <w:r>
              <w:rPr>
                <w:rFonts w:hint="eastAsia" w:ascii="Arial" w:hAnsi="Arial" w:cs="Arial"/>
                <w:color w:val="auto"/>
                <w:szCs w:val="21"/>
                <w:highlight w:val="none"/>
              </w:rPr>
              <w:t>总</w:t>
            </w:r>
            <w:r>
              <w:rPr>
                <w:rFonts w:ascii="Arial" w:hAnsi="Arial" w:cs="Arial"/>
                <w:color w:val="auto"/>
                <w:szCs w:val="21"/>
                <w:highlight w:val="none"/>
              </w:rPr>
              <w:t>报价</w:t>
            </w:r>
            <w:r>
              <w:rPr>
                <w:rFonts w:hint="eastAsia" w:ascii="Arial" w:hAnsi="Arial" w:cs="Arial"/>
                <w:color w:val="auto"/>
                <w:szCs w:val="21"/>
                <w:highlight w:val="none"/>
              </w:rPr>
              <w:t>（元）</w:t>
            </w: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1</w:t>
            </w:r>
          </w:p>
        </w:tc>
        <w:tc>
          <w:tcPr>
            <w:tcW w:w="29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color w:val="auto"/>
                <w:spacing w:val="20"/>
                <w:szCs w:val="21"/>
                <w:highlight w:val="none"/>
                <w:lang w:eastAsia="zh-CN"/>
              </w:rPr>
            </w:pPr>
            <w:r>
              <w:rPr>
                <w:rFonts w:hint="eastAsia" w:ascii="Arial" w:hAnsi="Arial" w:cs="Arial"/>
                <w:color w:val="auto"/>
                <w:spacing w:val="20"/>
                <w:szCs w:val="21"/>
                <w:highlight w:val="none"/>
                <w:lang w:eastAsia="zh-CN"/>
              </w:rPr>
              <w:t>兴安县人民医院整体搬迁项目（一期）医疗工艺设计咨询服务</w:t>
            </w:r>
          </w:p>
        </w:tc>
        <w:tc>
          <w:tcPr>
            <w:tcW w:w="8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项</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63" w:hRule="exact"/>
          <w:jc w:val="center"/>
        </w:trPr>
        <w:tc>
          <w:tcPr>
            <w:tcW w:w="9206"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pacing w:val="20"/>
                <w:szCs w:val="21"/>
                <w:highlight w:val="none"/>
              </w:rPr>
            </w:pPr>
            <w:r>
              <w:rPr>
                <w:rFonts w:ascii="Arial" w:hAnsi="Arial" w:cs="Arial"/>
                <w:color w:val="auto"/>
                <w:kern w:val="0"/>
                <w:szCs w:val="21"/>
                <w:highlight w:val="none"/>
                <w:lang w:bidi="ar"/>
              </w:rPr>
              <w:t>说明：</w:t>
            </w:r>
            <w:r>
              <w:rPr>
                <w:rFonts w:ascii="Arial" w:hAnsi="Arial" w:cs="Arial"/>
                <w:color w:val="auto"/>
                <w:szCs w:val="21"/>
                <w:highlight w:val="none"/>
              </w:rPr>
              <w:t>磋商报价包括本次采购范围内的</w:t>
            </w:r>
            <w:bookmarkStart w:id="44" w:name="OLE_LINK2"/>
            <w:r>
              <w:rPr>
                <w:rFonts w:ascii="Arial" w:hAnsi="Arial" w:cs="Arial"/>
                <w:color w:val="auto"/>
                <w:szCs w:val="21"/>
                <w:highlight w:val="none"/>
              </w:rPr>
              <w:t>服务价款、各种人力成本、拟投入设备成本、售后服务、技术支持、交通费、法定税费、不可预见费、合理利润及其它成本费等的各项费用的总和。供应商综合考虑在报价中</w:t>
            </w:r>
            <w:bookmarkEnd w:id="44"/>
            <w:r>
              <w:rPr>
                <w:rFonts w:ascii="Arial" w:hAnsi="Arial" w:cs="Arial"/>
                <w:color w:val="auto"/>
                <w:szCs w:val="21"/>
                <w:highlight w:val="none"/>
              </w:rPr>
              <w:t>。</w:t>
            </w:r>
          </w:p>
        </w:tc>
      </w:tr>
    </w:tbl>
    <w:p>
      <w:pPr>
        <w:spacing w:line="360" w:lineRule="auto"/>
        <w:rPr>
          <w:rFonts w:ascii="Arial" w:hAnsi="Arial" w:cs="Arial"/>
          <w:color w:val="auto"/>
          <w:spacing w:val="20"/>
          <w:szCs w:val="21"/>
          <w:highlight w:val="none"/>
        </w:rPr>
      </w:pPr>
    </w:p>
    <w:p>
      <w:pPr>
        <w:pStyle w:val="13"/>
        <w:rPr>
          <w:rFonts w:ascii="Arial" w:hAnsi="Arial" w:cs="Arial"/>
          <w:color w:val="auto"/>
          <w:highlight w:val="none"/>
        </w:rPr>
      </w:pPr>
      <w:r>
        <w:rPr>
          <w:rFonts w:ascii="Arial" w:hAnsi="Arial" w:cs="Arial"/>
          <w:color w:val="auto"/>
          <w:szCs w:val="21"/>
          <w:highlight w:val="none"/>
        </w:rPr>
        <w:t>注：本表如</w:t>
      </w:r>
      <w:r>
        <w:rPr>
          <w:rFonts w:ascii="Arial" w:hAnsi="Arial" w:cs="Arial"/>
          <w:color w:val="auto"/>
          <w:highlight w:val="none"/>
        </w:rPr>
        <w:t>与广西政府采购云平台不一致的，以广西政府采购云平台为准。</w:t>
      </w:r>
    </w:p>
    <w:p>
      <w:pPr>
        <w:jc w:val="left"/>
        <w:rPr>
          <w:rFonts w:ascii="Arial" w:hAnsi="Arial" w:cs="Arial"/>
          <w:color w:val="auto"/>
          <w:szCs w:val="21"/>
          <w:highlight w:val="none"/>
        </w:rPr>
      </w:pPr>
    </w:p>
    <w:p>
      <w:pPr>
        <w:spacing w:line="360" w:lineRule="auto"/>
        <w:rPr>
          <w:rFonts w:ascii="Arial" w:hAnsi="Arial" w:cs="Arial"/>
          <w:color w:val="auto"/>
          <w:spacing w:val="20"/>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pPr>
        <w:spacing w:line="360" w:lineRule="auto"/>
        <w:rPr>
          <w:rFonts w:ascii="Arial" w:hAnsi="Arial" w:cs="Arial"/>
          <w:color w:val="auto"/>
          <w:spacing w:val="20"/>
          <w:szCs w:val="21"/>
          <w:highlight w:val="none"/>
          <w:u w:val="single"/>
        </w:rPr>
      </w:pPr>
      <w:r>
        <w:rPr>
          <w:rFonts w:ascii="Arial" w:hAnsi="Arial" w:cs="Arial"/>
          <w:color w:val="auto"/>
          <w:szCs w:val="21"/>
          <w:highlight w:val="none"/>
        </w:rPr>
        <w:t>日  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 xml:space="preserve">日 </w:t>
      </w:r>
    </w:p>
    <w:p>
      <w:pPr>
        <w:pStyle w:val="13"/>
        <w:spacing w:line="288" w:lineRule="auto"/>
        <w:rPr>
          <w:rFonts w:ascii="Arial" w:hAnsi="Arial" w:cs="Arial"/>
          <w:b/>
          <w:bCs/>
          <w:color w:val="auto"/>
          <w:highlight w:val="none"/>
        </w:rPr>
      </w:pPr>
      <w:bookmarkStart w:id="45" w:name="_Hlk65852042"/>
    </w:p>
    <w:p>
      <w:pPr>
        <w:pStyle w:val="13"/>
        <w:spacing w:line="288" w:lineRule="auto"/>
        <w:rPr>
          <w:rFonts w:hint="eastAsia" w:ascii="Arial" w:hAnsi="Arial" w:cs="Arial"/>
          <w:b/>
          <w:bCs/>
          <w:color w:val="auto"/>
          <w:highlight w:val="none"/>
        </w:rPr>
      </w:pPr>
    </w:p>
    <w:p>
      <w:pPr>
        <w:pStyle w:val="13"/>
        <w:spacing w:line="288" w:lineRule="auto"/>
        <w:rPr>
          <w:rFonts w:ascii="Arial" w:hAnsi="Arial" w:cs="Arial"/>
          <w:b/>
          <w:bCs/>
          <w:color w:val="auto"/>
          <w:highlight w:val="none"/>
        </w:rPr>
      </w:pPr>
      <w:r>
        <w:rPr>
          <w:rFonts w:hint="eastAsia" w:ascii="Arial" w:hAnsi="Arial" w:cs="Arial"/>
          <w:b/>
          <w:bCs/>
          <w:color w:val="auto"/>
          <w:highlight w:val="none"/>
        </w:rPr>
        <w:t>3</w:t>
      </w:r>
      <w:r>
        <w:rPr>
          <w:rFonts w:ascii="Arial" w:hAnsi="Arial" w:cs="Arial"/>
          <w:b/>
          <w:bCs/>
          <w:color w:val="auto"/>
          <w:highlight w:val="none"/>
        </w:rPr>
        <w:t>.开标一览表</w:t>
      </w:r>
    </w:p>
    <w:p>
      <w:pPr>
        <w:rPr>
          <w:rFonts w:ascii="Arial" w:hAnsi="Arial" w:cs="Arial"/>
          <w:b/>
          <w:color w:val="auto"/>
          <w:szCs w:val="21"/>
          <w:highlight w:val="none"/>
        </w:rPr>
      </w:pPr>
    </w:p>
    <w:p>
      <w:pPr>
        <w:rPr>
          <w:rFonts w:ascii="Arial" w:hAnsi="Arial" w:cs="Arial"/>
          <w:b/>
          <w:color w:val="auto"/>
          <w:szCs w:val="21"/>
          <w:highlight w:val="none"/>
        </w:rPr>
      </w:pPr>
    </w:p>
    <w:p>
      <w:pPr>
        <w:rPr>
          <w:rFonts w:ascii="Arial" w:hAnsi="Arial" w:cs="Arial"/>
          <w:b/>
          <w:color w:val="auto"/>
          <w:szCs w:val="21"/>
          <w:highlight w:val="none"/>
        </w:rPr>
      </w:pPr>
      <w:r>
        <w:rPr>
          <w:rFonts w:ascii="Arial" w:hAnsi="Arial" w:cs="Arial"/>
          <w:b/>
          <w:color w:val="auto"/>
          <w:szCs w:val="21"/>
          <w:highlight w:val="none"/>
        </w:rPr>
        <w:t>格式详见广西政府采购云平台，且仅在广西政府采购云平台填写即可。</w:t>
      </w:r>
    </w:p>
    <w:p>
      <w:pPr>
        <w:widowControl/>
        <w:jc w:val="left"/>
        <w:rPr>
          <w:rFonts w:ascii="Arial" w:hAnsi="Arial" w:cs="Arial"/>
          <w:color w:val="auto"/>
          <w:szCs w:val="21"/>
          <w:highlight w:val="none"/>
        </w:rPr>
      </w:pPr>
    </w:p>
    <w:bookmarkEnd w:id="45"/>
    <w:p>
      <w:pPr>
        <w:spacing w:line="360" w:lineRule="auto"/>
        <w:ind w:firstLine="420"/>
        <w:rPr>
          <w:rFonts w:ascii="Arial" w:hAnsi="Arial" w:cs="Arial"/>
          <w:color w:val="auto"/>
          <w:szCs w:val="21"/>
          <w:highlight w:val="none"/>
        </w:rPr>
      </w:pPr>
    </w:p>
    <w:p>
      <w:pPr>
        <w:rPr>
          <w:color w:val="auto"/>
          <w:highlight w:val="none"/>
        </w:rPr>
      </w:pPr>
    </w:p>
    <w:p>
      <w:pPr>
        <w:pStyle w:val="3"/>
        <w:spacing w:line="288" w:lineRule="auto"/>
        <w:jc w:val="center"/>
        <w:rPr>
          <w:rFonts w:ascii="Arial" w:hAnsi="Arial" w:cs="Arial"/>
          <w:color w:val="auto"/>
          <w:highlight w:val="none"/>
        </w:rPr>
      </w:pPr>
      <w:bookmarkStart w:id="46" w:name="_Toc44229900"/>
      <w:r>
        <w:rPr>
          <w:rFonts w:ascii="Arial" w:hAnsi="Arial" w:cs="Arial"/>
          <w:color w:val="auto"/>
          <w:highlight w:val="none"/>
        </w:rPr>
        <w:br w:type="page"/>
      </w:r>
      <w:bookmarkStart w:id="47" w:name="_Toc20138"/>
      <w:r>
        <w:rPr>
          <w:rFonts w:ascii="Arial" w:hAnsi="Arial" w:cs="Arial"/>
          <w:color w:val="auto"/>
          <w:highlight w:val="none"/>
        </w:rPr>
        <w:t>第六章</w:t>
      </w:r>
      <w:r>
        <w:rPr>
          <w:rFonts w:hint="eastAsia" w:ascii="Arial" w:hAnsi="Arial" w:cs="Arial"/>
          <w:color w:val="auto"/>
          <w:highlight w:val="none"/>
        </w:rPr>
        <w:t xml:space="preserve">  </w:t>
      </w:r>
      <w:r>
        <w:rPr>
          <w:rFonts w:ascii="Arial" w:hAnsi="Arial" w:cs="Arial"/>
          <w:color w:val="auto"/>
          <w:highlight w:val="none"/>
        </w:rPr>
        <w:t>合同文本</w:t>
      </w:r>
      <w:bookmarkEnd w:id="46"/>
      <w:bookmarkEnd w:id="47"/>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合同编号：</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项目名称：</w:t>
      </w:r>
      <w:r>
        <w:rPr>
          <w:rFonts w:hint="eastAsia" w:ascii="Arial" w:hAnsi="Arial" w:cs="Arial"/>
          <w:color w:val="auto"/>
          <w:szCs w:val="21"/>
          <w:highlight w:val="none"/>
          <w:lang w:eastAsia="zh-CN"/>
        </w:rPr>
        <w:t>兴安县人民医院整体搬迁项目（一期）医疗工艺设计咨询服务</w:t>
      </w:r>
      <w:r>
        <w:rPr>
          <w:rFonts w:ascii="Arial" w:hAnsi="Arial" w:cs="Arial"/>
          <w:color w:val="auto"/>
          <w:szCs w:val="21"/>
          <w:highlight w:val="none"/>
        </w:rPr>
        <w:t xml:space="preserve"> </w:t>
      </w:r>
    </w:p>
    <w:p>
      <w:pPr>
        <w:adjustRightInd w:val="0"/>
        <w:snapToGrid w:val="0"/>
        <w:spacing w:line="324" w:lineRule="auto"/>
        <w:ind w:firstLine="420" w:firstLineChars="200"/>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kern w:val="0"/>
          <w:szCs w:val="21"/>
          <w:highlight w:val="none"/>
          <w:lang w:eastAsia="zh-CN"/>
        </w:rPr>
        <w:t>GLZC2025-C3-250092-JDZB</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甲方：</w:t>
      </w:r>
      <w:r>
        <w:rPr>
          <w:rFonts w:ascii="Arial" w:hAnsi="Arial" w:cs="Arial"/>
          <w:color w:val="auto"/>
          <w:highlight w:val="none"/>
          <w:u w:val="single"/>
        </w:rPr>
        <w:t xml:space="preserve">   兴安县人民医院     </w:t>
      </w:r>
      <w:r>
        <w:rPr>
          <w:rFonts w:ascii="Arial" w:hAnsi="Arial" w:cs="Arial"/>
          <w:color w:val="auto"/>
          <w:highlight w:val="none"/>
        </w:rPr>
        <w:t>（采购人）</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乙方：</w:t>
      </w:r>
      <w:r>
        <w:rPr>
          <w:rFonts w:ascii="Arial" w:hAnsi="Arial" w:cs="Arial"/>
          <w:color w:val="auto"/>
          <w:highlight w:val="none"/>
          <w:u w:val="single"/>
        </w:rPr>
        <w:t xml:space="preserve">                                                      </w:t>
      </w:r>
      <w:r>
        <w:rPr>
          <w:rFonts w:ascii="Arial" w:hAnsi="Arial" w:cs="Arial"/>
          <w:color w:val="auto"/>
          <w:highlight w:val="none"/>
        </w:rPr>
        <w:t>（成交供应商）</w:t>
      </w:r>
    </w:p>
    <w:p>
      <w:pPr>
        <w:widowControl/>
        <w:adjustRightInd w:val="0"/>
        <w:snapToGrid w:val="0"/>
        <w:spacing w:line="324" w:lineRule="auto"/>
        <w:ind w:firstLine="420" w:firstLineChars="200"/>
        <w:jc w:val="left"/>
        <w:rPr>
          <w:rFonts w:ascii="Arial" w:hAnsi="Arial" w:cs="Arial"/>
          <w:color w:val="auto"/>
          <w:highlight w:val="none"/>
        </w:rPr>
      </w:pPr>
      <w:r>
        <w:rPr>
          <w:rFonts w:ascii="Arial" w:hAnsi="Arial" w:cs="Arial"/>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w:t>
      </w:r>
      <w:r>
        <w:rPr>
          <w:rFonts w:hint="eastAsia" w:ascii="Arial" w:hAnsi="Arial" w:cs="Arial"/>
          <w:color w:val="auto"/>
          <w:szCs w:val="21"/>
          <w:highlight w:val="none"/>
        </w:rPr>
        <w:t>乙方</w:t>
      </w:r>
      <w:r>
        <w:rPr>
          <w:rFonts w:ascii="Arial" w:hAnsi="Arial" w:cs="Arial"/>
          <w:color w:val="auto"/>
          <w:highlight w:val="none"/>
        </w:rPr>
        <w:t>的承诺、甲乙双方签订本合同。</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48" w:name="_Toc16752"/>
      <w:bookmarkStart w:id="49" w:name="_Toc20217"/>
      <w:bookmarkStart w:id="50" w:name="_Toc845"/>
      <w:bookmarkStart w:id="51" w:name="_Toc8094"/>
      <w:bookmarkStart w:id="52" w:name="_Toc19914"/>
      <w:bookmarkStart w:id="53" w:name="_Toc30275"/>
      <w:r>
        <w:rPr>
          <w:rFonts w:ascii="Arial" w:hAnsi="Arial" w:cs="Arial"/>
          <w:bCs w:val="0"/>
          <w:color w:val="auto"/>
          <w:sz w:val="21"/>
          <w:szCs w:val="21"/>
          <w:highlight w:val="none"/>
        </w:rPr>
        <w:t>第一条 合同文件</w:t>
      </w:r>
      <w:bookmarkEnd w:id="48"/>
      <w:bookmarkEnd w:id="49"/>
      <w:bookmarkEnd w:id="50"/>
      <w:bookmarkEnd w:id="51"/>
      <w:bookmarkEnd w:id="52"/>
      <w:bookmarkEnd w:id="53"/>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1、本合同所附下列文件是构成本合同不可分割的部分：</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szCs w:val="21"/>
          <w:highlight w:val="none"/>
        </w:rPr>
        <w:t>乙方</w:t>
      </w:r>
      <w:r>
        <w:rPr>
          <w:rFonts w:ascii="Arial" w:hAnsi="Arial" w:cs="Arial"/>
          <w:color w:val="auto"/>
          <w:highlight w:val="none"/>
        </w:rPr>
        <w:t>提交的</w:t>
      </w:r>
      <w:r>
        <w:rPr>
          <w:rFonts w:ascii="Arial" w:hAnsi="Arial" w:cs="Arial"/>
          <w:color w:val="auto"/>
          <w:szCs w:val="21"/>
          <w:highlight w:val="none"/>
        </w:rPr>
        <w:t>磋商</w:t>
      </w:r>
      <w:r>
        <w:rPr>
          <w:rFonts w:ascii="Arial" w:hAnsi="Arial" w:cs="Arial"/>
          <w:color w:val="auto"/>
          <w:highlight w:val="none"/>
        </w:rPr>
        <w:t>报价表、</w:t>
      </w:r>
      <w:r>
        <w:rPr>
          <w:rFonts w:ascii="Arial" w:hAnsi="Arial" w:cs="Arial"/>
          <w:color w:val="auto"/>
          <w:szCs w:val="21"/>
          <w:highlight w:val="none"/>
        </w:rPr>
        <w:t>针对本项目的服务承诺书</w:t>
      </w:r>
      <w:r>
        <w:rPr>
          <w:rFonts w:ascii="Arial" w:hAnsi="Arial" w:cs="Arial"/>
          <w:color w:val="auto"/>
          <w:highlight w:val="none"/>
        </w:rPr>
        <w:t>；</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（2）成交通知书；</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（3）本合同协议书及有关补充资料；</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（4）磋商文件的条款要求。</w:t>
      </w:r>
    </w:p>
    <w:p>
      <w:pPr>
        <w:tabs>
          <w:tab w:val="left" w:pos="1305"/>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2、合同价金额包括：服务过程中相关的一切费用。</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54" w:name="_Toc1849"/>
      <w:bookmarkStart w:id="55" w:name="_Toc3918"/>
      <w:bookmarkStart w:id="56" w:name="_Toc25572"/>
      <w:bookmarkStart w:id="57" w:name="_Toc28710"/>
      <w:bookmarkStart w:id="58" w:name="_Toc6972"/>
      <w:bookmarkStart w:id="59" w:name="_Toc2848"/>
      <w:r>
        <w:rPr>
          <w:rFonts w:ascii="Arial" w:hAnsi="Arial" w:cs="Arial"/>
          <w:bCs w:val="0"/>
          <w:color w:val="auto"/>
          <w:sz w:val="21"/>
          <w:szCs w:val="21"/>
          <w:highlight w:val="none"/>
        </w:rPr>
        <w:t>第二条　合同金额</w:t>
      </w:r>
      <w:bookmarkEnd w:id="54"/>
      <w:bookmarkEnd w:id="55"/>
      <w:bookmarkEnd w:id="56"/>
      <w:bookmarkEnd w:id="57"/>
      <w:bookmarkEnd w:id="58"/>
      <w:bookmarkEnd w:id="59"/>
    </w:p>
    <w:p>
      <w:pPr>
        <w:adjustRightInd w:val="0"/>
        <w:snapToGrid w:val="0"/>
        <w:spacing w:line="324" w:lineRule="auto"/>
        <w:ind w:firstLine="420" w:firstLineChars="200"/>
        <w:rPr>
          <w:rFonts w:hint="eastAsia" w:ascii="Arial" w:hAnsi="Arial" w:eastAsia="宋体" w:cs="Arial"/>
          <w:color w:val="auto"/>
          <w:szCs w:val="21"/>
          <w:highlight w:val="none"/>
          <w:lang w:val="en-US" w:eastAsia="zh-CN"/>
        </w:rPr>
      </w:pPr>
      <w:r>
        <w:rPr>
          <w:rFonts w:ascii="Arial" w:hAnsi="Arial" w:cs="Arial"/>
          <w:color w:val="auto"/>
          <w:szCs w:val="21"/>
          <w:highlight w:val="none"/>
        </w:rPr>
        <w:t>根据《成交通知书》的成交内容，合同的总金额</w:t>
      </w:r>
      <w:r>
        <w:rPr>
          <w:rFonts w:hint="eastAsia" w:ascii="Arial" w:hAnsi="Arial" w:cs="Arial"/>
          <w:color w:val="auto"/>
          <w:szCs w:val="21"/>
          <w:highlight w:val="none"/>
          <w:lang w:val="en-US" w:eastAsia="zh-CN"/>
        </w:rPr>
        <w:t>固定总价</w:t>
      </w:r>
      <w:r>
        <w:rPr>
          <w:rFonts w:ascii="Arial" w:hAnsi="Arial" w:cs="Arial"/>
          <w:color w:val="auto"/>
          <w:szCs w:val="21"/>
          <w:highlight w:val="none"/>
        </w:rPr>
        <w:t>为：（大写）</w:t>
      </w:r>
      <w:r>
        <w:rPr>
          <w:rFonts w:ascii="Arial" w:hAnsi="Arial" w:cs="Arial"/>
          <w:color w:val="auto"/>
          <w:szCs w:val="21"/>
          <w:highlight w:val="none"/>
          <w:u w:val="single"/>
        </w:rPr>
        <w:t xml:space="preserve">                 </w:t>
      </w:r>
      <w:r>
        <w:rPr>
          <w:rFonts w:ascii="Arial" w:hAnsi="Arial" w:cs="Arial"/>
          <w:color w:val="auto"/>
          <w:szCs w:val="21"/>
          <w:highlight w:val="none"/>
        </w:rPr>
        <w:t>人民币（¥</w:t>
      </w:r>
      <w:r>
        <w:rPr>
          <w:rFonts w:ascii="Arial" w:hAnsi="Arial" w:cs="Arial"/>
          <w:color w:val="auto"/>
          <w:szCs w:val="21"/>
          <w:highlight w:val="none"/>
          <w:u w:val="single"/>
        </w:rPr>
        <w:t xml:space="preserve">                 </w:t>
      </w:r>
      <w:r>
        <w:rPr>
          <w:rFonts w:ascii="Arial" w:hAnsi="Arial" w:cs="Arial"/>
          <w:color w:val="auto"/>
          <w:szCs w:val="21"/>
          <w:highlight w:val="none"/>
        </w:rPr>
        <w:t>元）</w:t>
      </w:r>
      <w:r>
        <w:rPr>
          <w:rFonts w:hint="eastAsia" w:ascii="Arial" w:hAnsi="Arial" w:cs="Arial"/>
          <w:color w:val="auto"/>
          <w:szCs w:val="21"/>
          <w:highlight w:val="none"/>
          <w:lang w:eastAsia="zh-CN"/>
        </w:rPr>
        <w:t>。</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60" w:name="_Toc16138"/>
      <w:bookmarkStart w:id="61" w:name="_Toc29481"/>
      <w:bookmarkStart w:id="62" w:name="_Toc1972"/>
      <w:bookmarkStart w:id="63" w:name="_Toc5557"/>
      <w:bookmarkStart w:id="64" w:name="_Toc9581"/>
      <w:bookmarkStart w:id="65" w:name="_Toc4662"/>
      <w:r>
        <w:rPr>
          <w:rFonts w:ascii="Arial" w:hAnsi="Arial" w:cs="Arial"/>
          <w:bCs w:val="0"/>
          <w:color w:val="auto"/>
          <w:sz w:val="21"/>
          <w:szCs w:val="21"/>
          <w:highlight w:val="none"/>
        </w:rPr>
        <w:t>第三条  服务保证</w:t>
      </w:r>
      <w:bookmarkEnd w:id="60"/>
      <w:bookmarkEnd w:id="61"/>
      <w:bookmarkEnd w:id="62"/>
      <w:bookmarkEnd w:id="63"/>
      <w:bookmarkEnd w:id="64"/>
      <w:bookmarkEnd w:id="65"/>
    </w:p>
    <w:p>
      <w:pPr>
        <w:adjustRightInd w:val="0"/>
        <w:snapToGrid w:val="0"/>
        <w:spacing w:line="324" w:lineRule="auto"/>
        <w:ind w:firstLine="420" w:firstLineChars="200"/>
        <w:rPr>
          <w:rFonts w:ascii="Arial" w:hAnsi="Arial" w:cs="Arial"/>
          <w:color w:val="auto"/>
          <w:szCs w:val="21"/>
          <w:highlight w:val="none"/>
        </w:rPr>
      </w:pPr>
      <w:r>
        <w:rPr>
          <w:rFonts w:hint="eastAsia" w:ascii="Arial" w:hAnsi="Arial" w:cs="Arial"/>
          <w:color w:val="auto"/>
          <w:szCs w:val="21"/>
          <w:highlight w:val="none"/>
        </w:rPr>
        <w:t>乙方</w:t>
      </w:r>
      <w:r>
        <w:rPr>
          <w:rFonts w:ascii="Arial" w:hAnsi="Arial" w:cs="Arial"/>
          <w:color w:val="auto"/>
          <w:szCs w:val="21"/>
          <w:highlight w:val="none"/>
        </w:rPr>
        <w:t>应按磋商文件、响应文件和承诺规定的服务内容向</w:t>
      </w:r>
      <w:r>
        <w:rPr>
          <w:rFonts w:hint="eastAsia" w:ascii="Arial" w:hAnsi="Arial" w:cs="Arial"/>
          <w:color w:val="auto"/>
          <w:szCs w:val="21"/>
          <w:highlight w:val="none"/>
        </w:rPr>
        <w:t>甲方</w:t>
      </w:r>
      <w:r>
        <w:rPr>
          <w:rFonts w:ascii="Arial" w:hAnsi="Arial" w:cs="Arial"/>
          <w:color w:val="auto"/>
          <w:szCs w:val="21"/>
          <w:highlight w:val="none"/>
        </w:rPr>
        <w:t>提供相应服务。</w:t>
      </w:r>
    </w:p>
    <w:p>
      <w:pPr>
        <w:pStyle w:val="3"/>
        <w:tabs>
          <w:tab w:val="left" w:pos="567"/>
        </w:tabs>
        <w:adjustRightInd w:val="0"/>
        <w:snapToGrid w:val="0"/>
        <w:spacing w:before="0" w:after="0" w:line="324" w:lineRule="auto"/>
        <w:ind w:firstLine="422" w:firstLineChars="200"/>
        <w:rPr>
          <w:rFonts w:hint="eastAsia" w:ascii="Arial" w:hAnsi="Arial" w:cs="Arial"/>
          <w:bCs w:val="0"/>
          <w:color w:val="auto"/>
          <w:sz w:val="21"/>
          <w:szCs w:val="21"/>
          <w:highlight w:val="none"/>
        </w:rPr>
      </w:pPr>
      <w:bookmarkStart w:id="66" w:name="_Toc28884"/>
      <w:bookmarkStart w:id="67" w:name="_Toc8669"/>
      <w:bookmarkStart w:id="68" w:name="_Toc14127"/>
      <w:bookmarkStart w:id="69" w:name="_Toc16565"/>
      <w:bookmarkStart w:id="70" w:name="_Toc25056"/>
      <w:bookmarkStart w:id="71" w:name="_Toc6104"/>
      <w:r>
        <w:rPr>
          <w:rFonts w:ascii="Arial" w:hAnsi="Arial" w:cs="Arial"/>
          <w:bCs w:val="0"/>
          <w:color w:val="auto"/>
          <w:sz w:val="21"/>
          <w:szCs w:val="21"/>
          <w:highlight w:val="none"/>
        </w:rPr>
        <w:t xml:space="preserve">第四条  </w:t>
      </w:r>
      <w:bookmarkEnd w:id="66"/>
      <w:bookmarkEnd w:id="67"/>
      <w:bookmarkEnd w:id="68"/>
      <w:bookmarkEnd w:id="69"/>
      <w:bookmarkEnd w:id="70"/>
      <w:bookmarkEnd w:id="71"/>
      <w:bookmarkStart w:id="72" w:name="_Toc25521"/>
      <w:bookmarkStart w:id="73" w:name="_Toc15179"/>
      <w:bookmarkStart w:id="74" w:name="_Toc9706"/>
      <w:bookmarkStart w:id="75" w:name="_Toc3282"/>
      <w:bookmarkStart w:id="76" w:name="_Toc15896"/>
      <w:bookmarkStart w:id="77" w:name="_Toc3169"/>
      <w:r>
        <w:rPr>
          <w:rFonts w:hint="eastAsia" w:ascii="Arial" w:hAnsi="Arial" w:cs="Arial"/>
          <w:bCs w:val="0"/>
          <w:color w:val="auto"/>
          <w:sz w:val="21"/>
          <w:szCs w:val="21"/>
          <w:highlight w:val="none"/>
        </w:rPr>
        <w:t>项目概况‌</w:t>
      </w:r>
    </w:p>
    <w:p>
      <w:pPr>
        <w:pStyle w:val="3"/>
        <w:tabs>
          <w:tab w:val="left" w:pos="567"/>
        </w:tabs>
        <w:adjustRightInd w:val="0"/>
        <w:snapToGrid w:val="0"/>
        <w:spacing w:before="0" w:after="0" w:line="324" w:lineRule="auto"/>
        <w:ind w:firstLine="420" w:firstLineChars="200"/>
        <w:rPr>
          <w:rFonts w:hint="eastAsia" w:ascii="Arial" w:hAnsi="Arial" w:eastAsia="宋体" w:cs="Arial"/>
          <w:b w:val="0"/>
          <w:color w:val="auto"/>
          <w:sz w:val="21"/>
          <w:szCs w:val="21"/>
          <w:highlight w:val="none"/>
          <w:lang w:eastAsia="zh-CN"/>
        </w:rPr>
      </w:pPr>
      <w:r>
        <w:rPr>
          <w:rFonts w:hint="eastAsia" w:ascii="Arial" w:hAnsi="Arial" w:cs="Arial"/>
          <w:b w:val="0"/>
          <w:color w:val="auto"/>
          <w:sz w:val="21"/>
          <w:szCs w:val="21"/>
          <w:highlight w:val="none"/>
        </w:rPr>
        <w:t>‌项目名称‌：</w:t>
      </w:r>
      <w:r>
        <w:rPr>
          <w:rFonts w:hint="eastAsia" w:ascii="Arial" w:hAnsi="Arial" w:cs="Arial"/>
          <w:b w:val="0"/>
          <w:color w:val="auto"/>
          <w:sz w:val="21"/>
          <w:szCs w:val="21"/>
          <w:highlight w:val="none"/>
          <w:lang w:eastAsia="zh-CN"/>
        </w:rPr>
        <w:t>兴安县人民医院整体搬迁项目（一期）医疗工艺设计咨询服务</w:t>
      </w:r>
    </w:p>
    <w:p>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建设单位：兴安县人民医院</w:t>
      </w:r>
    </w:p>
    <w:p>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‌项目地点‌：广西省桂林市兴安县兴安镇康宁街78号</w:t>
      </w:r>
    </w:p>
    <w:p>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‌建设规模‌：建筑面积为59300㎡，设床位350张，包括建设1#门诊住院楼、4#污物暂存、地下室（含人防工程），道路场地硬化、停车场、绿化等室外配套工程及购置医疗设备一批。</w:t>
      </w:r>
    </w:p>
    <w:p>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建设内容包含土建工程、装饰装修工程、给排水工程、通风与空调工程，消防工程，电气工程、智能化工程、医疗专项工程、医疗IT 电源工程以及道路场地硬化、停车场、绿化等室外配套工程及购置医疗设备一批。</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 xml:space="preserve">第五条  </w:t>
      </w:r>
      <w:bookmarkEnd w:id="72"/>
      <w:bookmarkEnd w:id="73"/>
      <w:bookmarkEnd w:id="74"/>
      <w:bookmarkEnd w:id="75"/>
      <w:bookmarkEnd w:id="76"/>
      <w:bookmarkEnd w:id="77"/>
      <w:r>
        <w:rPr>
          <w:rFonts w:hint="eastAsia" w:ascii="Arial" w:hAnsi="Arial" w:cs="Arial"/>
          <w:bCs w:val="0"/>
          <w:color w:val="auto"/>
          <w:sz w:val="21"/>
          <w:szCs w:val="21"/>
          <w:highlight w:val="none"/>
        </w:rPr>
        <w:t>服务内容及要求</w:t>
      </w: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第一部分：医疗工艺规划阶段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（一）服务内容：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2.完成医院工艺流程设计参数；</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3.完成医院建设规模及标准；</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4.完成医疗分区面积计算；</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5.完成主要医疗设备需求分析。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（二）服务范围和要求：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1.项目发展定位研究：组织建设单位、使用单位结合行业发展趋势和配套政策，对项目发展定位、经营目标进行调研、讨论和论证，明确项目的发展目标；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2.项目市场环境分析：根据项目规划所处区位，分析未来经营服务范围和目标，对项目所承担行政职能、周边区域卫生资源、以及同类资源竞争进行分析；</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3.项目学科建设分析：通过对项目使用单位目前各临床学科运营现状进行调研，与使用单位领导对未来临床业务规划研讨，完成重点学和常规发展学科规划目标及规模；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项目规模及分期建议：根据项目批复以及建设的要求，对原有的医疗功能进行梳理，对医院的医疗功能整体规划以及科室之间关系，面积进行合理化意见与设计。确定新建筑的医疗功能，整体医院的调整策略及腾挪等实施计划。</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准确表达项目的医疗规划要求，以及医院建设规模、设计标准、设计深度的要求。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（三）工作成果包含：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1.《医疗设置规划书》，需清晰表达量化各功能单元的功能分区、建筑面积、核心配置（含类型和数量）等。</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2.《主要医疗设备统计表》，支撑项目建设内容、建设规模下，医技学科、临床学科所需的大型医疗设备。 </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第二部分：医疗工艺方案设计阶段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医疗工艺方案设计包括医疗工艺一级流程设计和医疗工艺二级流程设计。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医疗工艺一级流程设计内容为医院各医疗功能单元之间的组团关系规划。医疗工艺二级流程设计内容为各医疗功能单元内部功能房间的组织关系与流程规划。</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（一）医疗工艺一级流程设计阶段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医疗工艺一级流程设计工作流程：</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根据前期规划已确认的规模指标完成各医疗功能单元在建筑内学科轮廓与位置的规划，形成平面与竖向交通的体系规划，协助建筑完成主要出入口、各类流线组织及院内交通组织的优化设计，匹配建筑平面总体规划，并与医院管理层进行完整方案的沟通确认，以保证设计方案与医院运营管理模式的最佳契合，打造真正属于本项目的安全、高效提升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1、协助甲方核对建筑方案与设计任务书的匹配度；</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（1）医院建筑方案中应体现对全院内各功能建筑体之间的分布规划，并确定院内各类型出入口（门诊出入口、急诊出入口、住院出入口、后勤出入口等）设置与人、车、物的院内交通组织规划流线；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（2）对建筑方案与设计任务书之间存在的偏差进行问题分析和梳理；</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（3）通过与甲方、建筑单位和建设单位的多方会议明确对建筑方案的评审意见；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（4）促进形成稳定的建筑方案（建筑外轮廓、柱网、标高和核心交通组织），以作为正式启动医疗工艺一级流程的基础条件。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2、医疗工艺一级流程功能单元组团分布；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（1）结合医院运营模式和重点学科发展方向，对医院建筑整体布局提出建议；</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（2）结合建筑形态，对各功能组团分布设置方案进行推演；</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（3）结合医疗工艺规划的成果，对项目医疗规划重要指标进行论证；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（4）结合设计规范、设计标准，对院感控制重点问题提出工艺流程策略。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3、医疗工艺一级流程设计内容；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（1）确定工艺总平面规划中各类型出入口与院内各项交通流线；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（2）结合前期确定的学科规模与定位，确定院内医疗功能各项板块在建筑内的规划方案；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（3）确定院内重点标准化功能板块（如：门诊、住院）对应的建筑形态方案。</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（4）核定各功能单元轮廓线及面积指标。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（5）核定交通核心筒的电梯、扶梯、步梯的数量、位置及功能属性。</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（6）确定院内各类人流、物流等交通流线。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（7）清晰表达的各功能单元与公共区域之间的关系。</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（8）以上内容的最终表达形式为色块图并整合为汇报文件（咨询深度则为文字意见）</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   《医疗工艺一级流程平面布置图》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（二）医疗工艺二级流程设计阶段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1、医疗工艺二级流程科室调研与沟通</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（1）根据经过医院确认的一级流程成果文件，在各个功能单位的位置、面积和配置基本明确的前提下，对全院科室开展使用习惯及内部规划想法的调研与沟通。</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（2）向各个科室介绍全院整体规划及该科室的规划情况，在一级流程稳定的基础上，了解各个科室的需求，开展医疗工艺二级流程设计。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2、功能单元内部分区、动线组织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（1）根据医院感染控制对不同科室的管理要求，开展功能单元内部功能分区设计；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（2）根据科室医疗行为开展的实际需求，开展各类人流、物流的动线组织与交通组织研究。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3、功能单元内各类用房的关系统筹，面积与形态的设计；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（1）根据科室医疗行为开展的需求，进行该功能单元与科室内的各类型功能用房的数量确定、组织布局、排布关系的统筹设计；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（2）确定各功能单元内各类型房间的面积与形态，以满足科室医疗行为的开展需求。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4、医疗工艺二级流程设计内容；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（1）标示各功能单元范围及功能单元区域面积；</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（2）清晰表达功能单元内的动线。应包含医护动线、患者动线、洁净物品运输动线和污物运输动线；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（3）清晰表达功能单元内的房型功能布局；</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（4）应以各类隔墙分割各功能用房；</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（5）应准确表达房间、通道间门窗类型；</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（6）应准确标注用房面积、尺寸及相关场地要求；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以上内容的最终表达形式为CAD双线图或汇报文件（咨询深度则为文字意见）。设计成果编制。梳理医疗工艺二级流程设计的相关内容，建立报告框架，将复杂的内容图纸化，保证所有的信息来源都有依有据，并且可以为下一步深化作为支撑。</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第三部分：医疗工艺条件设计阶段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（一）医疗工艺三级流程设计阶段</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在医疗工艺二级流程的框架下，结合前期各功能单元的功能需求，通过对房间内部进行合理的设计，提高医务人员与患者的工作及就诊效率，提升患者就医体验与医务人员工作环境品质。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1、医疗工艺三级流程设计：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从设备数量往管理方式以医疗功能患者就医行为、医护人员医疗工作行为贯通医院的工艺流程的方案印证对医疗功能房间或特定区域内部，进行的家具、设备以及房间内用水点的数量及位置布置，在满足医护人员医疗操作性、专业与习惯性的同时，还要考虑到患者的体验感。</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2、医疗工艺三级流程设计内容：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（1）复核校验建筑提资图与工艺流程图纸流线是否满足使用；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（2）结合科室调研表以书面形式再次确认院方需求；</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（3）核实二级流程的功能是否缺失、名称是否正确，尺寸和面积满足使用；</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（4）布置家具、洁具及设备平面布置图；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（5）完成三级流程设计初稿后，再次通过科室交流稳定室内功能及医疗使用行为平面布置图；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（6）提交设计成果，并获得院方书面确认。</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 医疗工艺相关专业工艺条件：</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针对医护和患者的行为使用要求，提供每个功能房间内部的机电点位要求、提供机电点位的安装位置与形式、提供空间的环境控制参数、提供房间的建筑、结构、装饰条件。最终成果满足给建筑初步设计、施工图和装修方案图提供前提条件的深度。</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4、医疗工艺相关专业工艺条件设计内容：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（1）复核校验医疗工艺三级流程图纸；</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（2）布置医疗功能房间平面点位图；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（3）在医疗专项单位技术配合下，布置其余各医疗专项 功能房间点位图；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（4）提交设计成果，与各科室进行线下交流、并获得院方书面确认；</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（5）对最新建筑进行合图，确保工艺图纸和建筑匹配；</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（6）完成最终工艺条件成果图纸和设计院各专业进行技术交底，确保工艺条件落实到施工图；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设计成果编制。梳理医疗工艺三级流程设计的相关内容，建立报告框架，将复杂的内容图纸化与表格化。</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《医疗工艺三级流程平面布置图》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第四部分：医疗工艺相关咨询服务</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（一）医疗专项前期咨询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 医疗设备前期咨询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医疗设备配置标准及设备选型、技术规格、房间尺寸(含辅助用房)、设备所需水、电、空调等条件，在前期策划阶段形成《主要医疗设备统计表》，至少包含对面积有需求的设备；</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医疗设备结构条件以图纸形式提资，用作建筑设计单位设计参考。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2.净化工程前期咨询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主要净化工程区域分布(手术室、中心供应、静配中心等)，融入医疗工艺一级流程布置图；</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方案设计阶段：将净化区域深化到医疗工艺二级流程深度，供深化专项设计参考；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初步设计及施工图落阶段：辅助甲方基于医疗工艺流程对专项深化图纸进行审查。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3.物流系统前期咨询</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前期策划阶段提供物流基本选型建议；</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配合建筑设计单位物流专项，审查物流需求、物流方案的合理性。</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4.其他对面积有需求的医疗专项（医用气体、实验室等）需要在方案阶段做到医疗工艺二级流程深度，供专项厂家参考。</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（二）其他咨询服务内容</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1.协助甲方完成医疗卫生流程专项审查；</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2.对建筑设计各阶段（方案设计、初步设计、施工图设计）及各专业的设计进行医疗工艺专业配合，并提供咨询服务。</w:t>
      </w:r>
    </w:p>
    <w:p>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第五部分：成果交付时间</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医疗工艺规划阶段成果：合同签定后30个日历天。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医疗工艺一级流程：启动一级流程设计后20个日历天。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医疗工艺二级流程：一级流程确认后，启动二级流程设计后30个日历天。</w:t>
      </w:r>
    </w:p>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医疗工艺三级流程：二级流程确认后，启动三级流程设计后30个日历天。</w:t>
      </w:r>
    </w:p>
    <w:p>
      <w:pPr>
        <w:widowControl/>
        <w:tabs>
          <w:tab w:val="left" w:pos="1140"/>
        </w:tabs>
        <w:adjustRightInd w:val="0"/>
        <w:snapToGrid w:val="0"/>
        <w:spacing w:line="360" w:lineRule="auto"/>
        <w:ind w:firstLine="420" w:firstLineChars="200"/>
        <w:textAlignment w:val="baseline"/>
        <w:rPr>
          <w:rFonts w:hint="eastAsia" w:ascii="宋体" w:hAnsi="宋体" w:cs="宋体"/>
          <w:color w:val="auto"/>
          <w:kern w:val="0"/>
          <w:sz w:val="24"/>
          <w:szCs w:val="20"/>
          <w:highlight w:val="none"/>
        </w:rPr>
      </w:pPr>
      <w:r>
        <w:rPr>
          <w:rStyle w:val="68"/>
          <w:rFonts w:hint="eastAsia" w:ascii="Arial" w:hAnsi="Arial" w:cs="Arial"/>
          <w:color w:val="auto"/>
          <w:kern w:val="0"/>
          <w:szCs w:val="21"/>
          <w:highlight w:val="none"/>
        </w:rPr>
        <w:t>其他医疗工艺相关咨询，提供提资文件后7个日历天内提供咨询意见，项目施工图审批通过后，10个日历天，将整理所有咨询意见形成咨询报告</w:t>
      </w:r>
      <w:r>
        <w:rPr>
          <w:rStyle w:val="68"/>
          <w:rFonts w:ascii="Arial" w:hAnsi="Arial" w:cs="Arial"/>
          <w:color w:val="auto"/>
          <w:kern w:val="0"/>
          <w:szCs w:val="21"/>
          <w:highlight w:val="none"/>
        </w:rPr>
        <w:t>。</w:t>
      </w:r>
    </w:p>
    <w:p>
      <w:pPr>
        <w:numPr>
          <w:ilvl w:val="0"/>
          <w:numId w:val="0"/>
        </w:numPr>
        <w:autoSpaceDE w:val="0"/>
        <w:autoSpaceDN w:val="0"/>
        <w:adjustRightInd w:val="0"/>
        <w:spacing w:after="100" w:line="288" w:lineRule="auto"/>
        <w:ind w:left="210" w:leftChars="0"/>
        <w:jc w:val="left"/>
        <w:rPr>
          <w:rFonts w:hint="eastAsia" w:ascii="宋体" w:hAnsi="宋体" w:cs="宋体"/>
          <w:bCs/>
          <w:color w:val="auto"/>
          <w:kern w:val="0"/>
          <w:sz w:val="21"/>
          <w:szCs w:val="21"/>
          <w:highlight w:val="none"/>
        </w:rPr>
      </w:pPr>
      <w:r>
        <w:rPr>
          <w:rFonts w:hint="eastAsia" w:ascii="宋体" w:hAnsi="宋体" w:cs="宋体"/>
          <w:b/>
          <w:color w:val="auto"/>
          <w:kern w:val="0"/>
          <w:sz w:val="21"/>
          <w:szCs w:val="21"/>
          <w:highlight w:val="none"/>
          <w:lang w:val="en-US" w:eastAsia="zh-CN"/>
        </w:rPr>
        <w:t>第六条</w:t>
      </w:r>
      <w:r>
        <w:rPr>
          <w:rFonts w:hint="eastAsia" w:ascii="宋体" w:hAnsi="宋体" w:cs="宋体"/>
          <w:b/>
          <w:color w:val="auto"/>
          <w:kern w:val="0"/>
          <w:sz w:val="21"/>
          <w:szCs w:val="21"/>
          <w:highlight w:val="none"/>
        </w:rPr>
        <w:t>　</w:t>
      </w:r>
      <w:r>
        <w:rPr>
          <w:rFonts w:hint="eastAsia" w:ascii="宋体" w:hAnsi="宋体" w:cs="宋体"/>
          <w:bCs/>
          <w:color w:val="auto"/>
          <w:kern w:val="0"/>
          <w:sz w:val="21"/>
          <w:szCs w:val="21"/>
          <w:highlight w:val="none"/>
          <w:lang w:val="en-US" w:eastAsia="zh-CN"/>
        </w:rPr>
        <w:t>甲方</w:t>
      </w:r>
      <w:r>
        <w:rPr>
          <w:rFonts w:hint="eastAsia" w:ascii="宋体" w:hAnsi="宋体" w:cs="宋体"/>
          <w:bCs/>
          <w:color w:val="auto"/>
          <w:kern w:val="0"/>
          <w:sz w:val="21"/>
          <w:szCs w:val="21"/>
          <w:highlight w:val="none"/>
        </w:rPr>
        <w:t>应向</w:t>
      </w:r>
      <w:r>
        <w:rPr>
          <w:rFonts w:hint="eastAsia" w:ascii="宋体" w:hAnsi="宋体" w:cs="宋体"/>
          <w:bCs/>
          <w:color w:val="auto"/>
          <w:kern w:val="0"/>
          <w:sz w:val="21"/>
          <w:szCs w:val="21"/>
          <w:highlight w:val="none"/>
          <w:lang w:val="en-US" w:eastAsia="zh-CN"/>
        </w:rPr>
        <w:t>乙方</w:t>
      </w:r>
      <w:r>
        <w:rPr>
          <w:rFonts w:hint="eastAsia" w:ascii="宋体" w:hAnsi="宋体" w:cs="宋体"/>
          <w:bCs/>
          <w:color w:val="auto"/>
          <w:kern w:val="0"/>
          <w:sz w:val="21"/>
          <w:szCs w:val="21"/>
          <w:highlight w:val="none"/>
        </w:rPr>
        <w:t>提交的有关资料、文件，并满足的设计咨询条件</w:t>
      </w:r>
    </w:p>
    <w:tbl>
      <w:tblPr>
        <w:tblStyle w:val="33"/>
        <w:tblW w:w="0" w:type="auto"/>
        <w:jc w:val="center"/>
        <w:tblLayout w:type="fixed"/>
        <w:tblCellMar>
          <w:top w:w="0" w:type="dxa"/>
          <w:left w:w="45" w:type="dxa"/>
          <w:bottom w:w="0" w:type="dxa"/>
          <w:right w:w="45" w:type="dxa"/>
        </w:tblCellMar>
      </w:tblPr>
      <w:tblGrid>
        <w:gridCol w:w="773"/>
        <w:gridCol w:w="3756"/>
        <w:gridCol w:w="709"/>
        <w:gridCol w:w="2437"/>
        <w:gridCol w:w="1381"/>
      </w:tblGrid>
      <w:tr>
        <w:tblPrEx>
          <w:tblCellMar>
            <w:top w:w="0" w:type="dxa"/>
            <w:left w:w="45" w:type="dxa"/>
            <w:bottom w:w="0" w:type="dxa"/>
            <w:right w:w="45" w:type="dxa"/>
          </w:tblCellMar>
        </w:tblPrEx>
        <w:trPr>
          <w:trHeight w:val="584"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color w:val="auto"/>
                <w:sz w:val="21"/>
                <w:szCs w:val="21"/>
                <w:highlight w:val="none"/>
              </w:rPr>
              <w:fldChar w:fldCharType="begin"/>
            </w:r>
            <w:r>
              <w:rPr>
                <w:rFonts w:hint="eastAsia" w:ascii="宋体" w:hAnsi="宋体" w:cs="宋体"/>
                <w:color w:val="auto"/>
                <w:kern w:val="0"/>
                <w:sz w:val="21"/>
                <w:szCs w:val="21"/>
                <w:highlight w:val="none"/>
              </w:rPr>
              <w:instrText xml:space="preserve">PRIVATE</w:instrText>
            </w:r>
            <w:r>
              <w:rPr>
                <w:rFonts w:ascii="宋体" w:hAnsi="宋体" w:cs="宋体"/>
                <w:color w:val="auto"/>
                <w:kern w:val="0"/>
                <w:sz w:val="21"/>
                <w:szCs w:val="21"/>
                <w:highlight w:val="none"/>
              </w:rPr>
              <w:instrText xml:space="preserve"> \* MERGEFORMAT </w:instrText>
            </w:r>
            <w:r>
              <w:rPr>
                <w:rFonts w:hint="eastAsia" w:ascii="宋体" w:hAnsi="宋体" w:cs="宋体"/>
                <w:color w:val="auto"/>
                <w:kern w:val="0"/>
                <w:sz w:val="21"/>
                <w:szCs w:val="21"/>
                <w:highlight w:val="none"/>
              </w:rPr>
              <w:fldChar w:fldCharType="end"/>
            </w: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序号</w:t>
            </w:r>
            <w:r>
              <w:rPr>
                <w:rFonts w:hint="eastAsia" w:ascii="宋体" w:hAnsi="宋体" w:cs="宋体"/>
                <w:vanish/>
                <w:color w:val="auto"/>
                <w:kern w:val="0"/>
                <w:sz w:val="21"/>
                <w:szCs w:val="21"/>
                <w:highlight w:val="none"/>
              </w:rPr>
              <w:t>&lt;/div&gt;</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资料及文件名称</w:t>
            </w:r>
            <w:r>
              <w:rPr>
                <w:rFonts w:hint="eastAsia" w:ascii="宋体" w:hAnsi="宋体" w:cs="宋体"/>
                <w:vanish/>
                <w:color w:val="auto"/>
                <w:kern w:val="0"/>
                <w:sz w:val="21"/>
                <w:szCs w:val="21"/>
                <w:highlight w:val="none"/>
              </w:rPr>
              <w:t>&lt;/div&gt;</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份数</w:t>
            </w:r>
            <w:r>
              <w:rPr>
                <w:rFonts w:hint="eastAsia" w:ascii="宋体" w:hAnsi="宋体" w:cs="宋体"/>
                <w:vanish/>
                <w:color w:val="auto"/>
                <w:kern w:val="0"/>
                <w:sz w:val="21"/>
                <w:szCs w:val="21"/>
                <w:highlight w:val="none"/>
              </w:rPr>
              <w:t>&lt;/div&gt;</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提交日期</w:t>
            </w:r>
            <w:r>
              <w:rPr>
                <w:rFonts w:hint="eastAsia" w:ascii="宋体" w:hAnsi="宋体" w:cs="宋体"/>
                <w:vanish/>
                <w:color w:val="auto"/>
                <w:kern w:val="0"/>
                <w:sz w:val="21"/>
                <w:szCs w:val="21"/>
                <w:highlight w:val="none"/>
              </w:rPr>
              <w:t>&lt;/div&gt;</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有关事宜</w:t>
            </w:r>
            <w:r>
              <w:rPr>
                <w:rFonts w:hint="eastAsia" w:ascii="宋体" w:hAnsi="宋体" w:cs="宋体"/>
                <w:vanish/>
                <w:color w:val="auto"/>
                <w:kern w:val="0"/>
                <w:sz w:val="21"/>
                <w:szCs w:val="21"/>
                <w:highlight w:val="none"/>
              </w:rPr>
              <w:t>&lt;/div&gt;</w:t>
            </w:r>
          </w:p>
        </w:tc>
      </w:tr>
      <w:tr>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设计任务书</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已通过审查的项目可行性研究报告</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项目相关政府会议纪要文件</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55"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原有建筑所有图纸</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55"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ascii="宋体" w:hAnsi="宋体" w:cs="宋体"/>
                <w:color w:val="auto"/>
                <w:kern w:val="0"/>
                <w:sz w:val="21"/>
                <w:szCs w:val="21"/>
                <w:highlight w:val="none"/>
              </w:rPr>
              <w:t>项目所在区域控规</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41"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ascii="宋体" w:hAnsi="宋体" w:cs="宋体"/>
                <w:color w:val="auto"/>
                <w:kern w:val="0"/>
                <w:sz w:val="21"/>
                <w:szCs w:val="21"/>
                <w:highlight w:val="none"/>
              </w:rPr>
              <w:t>其他与本项目有关的或</w:t>
            </w:r>
            <w:r>
              <w:rPr>
                <w:rFonts w:hint="eastAsia" w:ascii="宋体" w:hAnsi="宋体" w:cs="宋体"/>
                <w:color w:val="auto"/>
                <w:kern w:val="0"/>
                <w:sz w:val="21"/>
                <w:szCs w:val="21"/>
                <w:highlight w:val="none"/>
              </w:rPr>
              <w:t>有助于</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进行</w:t>
            </w:r>
            <w:r>
              <w:rPr>
                <w:rFonts w:hint="eastAsia" w:ascii="宋体" w:hAnsi="宋体" w:cs="宋体"/>
                <w:color w:val="auto"/>
                <w:kern w:val="0"/>
                <w:sz w:val="21"/>
                <w:szCs w:val="21"/>
                <w:highlight w:val="none"/>
              </w:rPr>
              <w:t>设计的相关资料</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tblPrEx>
          <w:tblCellMar>
            <w:top w:w="0" w:type="dxa"/>
            <w:left w:w="45" w:type="dxa"/>
            <w:bottom w:w="0" w:type="dxa"/>
            <w:right w:w="45" w:type="dxa"/>
          </w:tblCellMar>
        </w:tblPrEx>
        <w:trPr>
          <w:trHeight w:val="514"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说明</w:t>
            </w:r>
          </w:p>
        </w:tc>
        <w:tc>
          <w:tcPr>
            <w:tcW w:w="8283" w:type="dxa"/>
            <w:gridSpan w:val="4"/>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设计任务书含</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对项目的规模、理念、风格、功能等设计要求。</w:t>
            </w:r>
          </w:p>
        </w:tc>
      </w:tr>
    </w:tbl>
    <w:p>
      <w:pPr>
        <w:autoSpaceDE w:val="0"/>
        <w:autoSpaceDN w:val="0"/>
        <w:adjustRightInd w:val="0"/>
        <w:spacing w:after="100" w:line="288" w:lineRule="auto"/>
        <w:jc w:val="lef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第</w:t>
      </w:r>
      <w:r>
        <w:rPr>
          <w:rFonts w:hint="eastAsia" w:ascii="宋体" w:hAnsi="宋体" w:cs="宋体"/>
          <w:b/>
          <w:color w:val="auto"/>
          <w:kern w:val="0"/>
          <w:sz w:val="21"/>
          <w:szCs w:val="21"/>
          <w:highlight w:val="none"/>
          <w:lang w:val="en-US" w:eastAsia="zh-CN"/>
        </w:rPr>
        <w:t>七</w:t>
      </w:r>
      <w:r>
        <w:rPr>
          <w:rFonts w:hint="eastAsia" w:ascii="宋体" w:hAnsi="宋体" w:cs="宋体"/>
          <w:b/>
          <w:color w:val="auto"/>
          <w:kern w:val="0"/>
          <w:sz w:val="21"/>
          <w:szCs w:val="21"/>
          <w:highlight w:val="none"/>
        </w:rPr>
        <w:t>条　</w:t>
      </w:r>
      <w:r>
        <w:rPr>
          <w:rFonts w:hint="eastAsia" w:ascii="宋体" w:hAnsi="宋体" w:cs="宋体"/>
          <w:bCs/>
          <w:color w:val="auto"/>
          <w:kern w:val="0"/>
          <w:sz w:val="21"/>
          <w:szCs w:val="21"/>
          <w:highlight w:val="none"/>
          <w:lang w:val="en-US" w:eastAsia="zh-CN"/>
        </w:rPr>
        <w:t>乙方</w:t>
      </w:r>
      <w:r>
        <w:rPr>
          <w:rFonts w:hint="eastAsia" w:ascii="宋体" w:hAnsi="宋体" w:cs="宋体"/>
          <w:bCs/>
          <w:color w:val="auto"/>
          <w:kern w:val="0"/>
          <w:sz w:val="21"/>
          <w:szCs w:val="21"/>
          <w:highlight w:val="none"/>
        </w:rPr>
        <w:t>应向</w:t>
      </w:r>
      <w:r>
        <w:rPr>
          <w:rFonts w:hint="eastAsia" w:ascii="宋体" w:hAnsi="宋体" w:cs="宋体"/>
          <w:bCs/>
          <w:color w:val="auto"/>
          <w:kern w:val="0"/>
          <w:sz w:val="21"/>
          <w:szCs w:val="21"/>
          <w:highlight w:val="none"/>
          <w:lang w:val="en-US" w:eastAsia="zh-CN"/>
        </w:rPr>
        <w:t>甲方</w:t>
      </w:r>
      <w:r>
        <w:rPr>
          <w:rFonts w:hint="eastAsia" w:ascii="宋体" w:hAnsi="宋体" w:cs="宋体"/>
          <w:bCs/>
          <w:color w:val="auto"/>
          <w:kern w:val="0"/>
          <w:sz w:val="21"/>
          <w:szCs w:val="21"/>
          <w:highlight w:val="none"/>
        </w:rPr>
        <w:t>交付的设计资料及文件</w:t>
      </w:r>
      <w:r>
        <w:rPr>
          <w:rFonts w:hint="eastAsia" w:ascii="宋体" w:hAnsi="宋体" w:cs="宋体"/>
          <w:b/>
          <w:color w:val="auto"/>
          <w:kern w:val="0"/>
          <w:sz w:val="21"/>
          <w:szCs w:val="21"/>
          <w:highlight w:val="none"/>
        </w:rPr>
        <w:t>　</w:t>
      </w:r>
    </w:p>
    <w:tbl>
      <w:tblPr>
        <w:tblStyle w:val="33"/>
        <w:tblW w:w="0" w:type="auto"/>
        <w:tblInd w:w="187" w:type="dxa"/>
        <w:tblLayout w:type="fixed"/>
        <w:tblCellMar>
          <w:top w:w="0" w:type="dxa"/>
          <w:left w:w="45" w:type="dxa"/>
          <w:bottom w:w="0" w:type="dxa"/>
          <w:right w:w="45" w:type="dxa"/>
        </w:tblCellMar>
      </w:tblPr>
      <w:tblGrid>
        <w:gridCol w:w="851"/>
        <w:gridCol w:w="2976"/>
        <w:gridCol w:w="1418"/>
        <w:gridCol w:w="850"/>
        <w:gridCol w:w="3119"/>
      </w:tblGrid>
      <w:tr>
        <w:tblPrEx>
          <w:tblCellMar>
            <w:top w:w="0" w:type="dxa"/>
            <w:left w:w="45" w:type="dxa"/>
            <w:bottom w:w="0" w:type="dxa"/>
            <w:right w:w="45" w:type="dxa"/>
          </w:tblCellMar>
        </w:tblPrEx>
        <w:trPr>
          <w:trHeight w:val="485"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color w:val="auto"/>
                <w:sz w:val="21"/>
                <w:szCs w:val="21"/>
                <w:highlight w:val="none"/>
              </w:rPr>
              <w:fldChar w:fldCharType="begin"/>
            </w:r>
            <w:r>
              <w:rPr>
                <w:rFonts w:hint="eastAsia" w:ascii="宋体" w:hAnsi="宋体" w:cs="宋体"/>
                <w:color w:val="auto"/>
                <w:sz w:val="21"/>
                <w:szCs w:val="21"/>
                <w:highlight w:val="none"/>
              </w:rPr>
              <w:instrText xml:space="preserve">PRIVATE</w:instrText>
            </w:r>
            <w:r>
              <w:rPr>
                <w:rFonts w:ascii="宋体" w:hAnsi="宋体" w:cs="宋体"/>
                <w:color w:val="auto"/>
                <w:sz w:val="21"/>
                <w:szCs w:val="21"/>
                <w:highlight w:val="none"/>
              </w:rPr>
              <w:instrText xml:space="preserve"> \* MERGEFORMAT </w:instrText>
            </w:r>
            <w:r>
              <w:rPr>
                <w:rFonts w:hint="eastAsia" w:ascii="宋体" w:hAnsi="宋体" w:cs="宋体"/>
                <w:color w:val="auto"/>
                <w:sz w:val="21"/>
                <w:szCs w:val="21"/>
                <w:highlight w:val="none"/>
              </w:rPr>
              <w:fldChar w:fldCharType="end"/>
            </w: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序号</w:t>
            </w:r>
            <w:r>
              <w:rPr>
                <w:rStyle w:val="117"/>
                <w:rFonts w:hint="eastAsia" w:ascii="宋体" w:hAnsi="宋体" w:cs="宋体"/>
                <w:color w:val="auto"/>
                <w:sz w:val="21"/>
                <w:szCs w:val="21"/>
                <w:highlight w:val="none"/>
              </w:rPr>
              <w:t>&lt;/div&gt;</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资料及文件名称</w:t>
            </w:r>
            <w:r>
              <w:rPr>
                <w:rStyle w:val="117"/>
                <w:rFonts w:hint="eastAsia" w:ascii="宋体" w:hAnsi="宋体" w:cs="宋体"/>
                <w:color w:val="auto"/>
                <w:sz w:val="21"/>
                <w:szCs w:val="21"/>
                <w:highlight w:val="none"/>
              </w:rPr>
              <w:t>&lt;/div&gt;</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Style w:val="117"/>
                <w:rFonts w:hint="eastAsia" w:ascii="宋体" w:hAnsi="宋体" w:cs="宋体"/>
                <w:color w:val="auto"/>
                <w:sz w:val="21"/>
                <w:szCs w:val="21"/>
                <w:highlight w:val="none"/>
              </w:rPr>
            </w:pPr>
            <w:r>
              <w:rPr>
                <w:rStyle w:val="117"/>
                <w:rFonts w:ascii="宋体" w:hAnsi="宋体" w:cs="宋体"/>
                <w:vanish w:val="0"/>
                <w:color w:val="auto"/>
                <w:sz w:val="21"/>
                <w:szCs w:val="21"/>
                <w:highlight w:val="none"/>
              </w:rPr>
              <w:t>设计成果</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份数</w:t>
            </w:r>
            <w:r>
              <w:rPr>
                <w:rStyle w:val="117"/>
                <w:rFonts w:hint="eastAsia" w:ascii="宋体" w:hAnsi="宋体" w:cs="宋体"/>
                <w:color w:val="auto"/>
                <w:sz w:val="21"/>
                <w:szCs w:val="21"/>
                <w:highlight w:val="none"/>
              </w:rPr>
              <w:t>&lt;/div&gt;</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有关事宜</w:t>
            </w:r>
            <w:r>
              <w:rPr>
                <w:rStyle w:val="117"/>
                <w:rFonts w:hint="eastAsia" w:ascii="宋体" w:hAnsi="宋体" w:cs="宋体"/>
                <w:color w:val="auto"/>
                <w:sz w:val="21"/>
                <w:szCs w:val="21"/>
                <w:highlight w:val="none"/>
              </w:rPr>
              <w:t>&lt;/div&gt;</w:t>
            </w:r>
          </w:p>
        </w:tc>
      </w:tr>
      <w:tr>
        <w:tblPrEx>
          <w:tblCellMar>
            <w:top w:w="0" w:type="dxa"/>
            <w:left w:w="45" w:type="dxa"/>
            <w:bottom w:w="0" w:type="dxa"/>
            <w:right w:w="45" w:type="dxa"/>
          </w:tblCellMar>
        </w:tblPrEx>
        <w:trPr>
          <w:trHeight w:val="513"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《医疗设置规划书》</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A</w:t>
            </w:r>
            <w:r>
              <w:rPr>
                <w:rFonts w:ascii="宋体" w:hAnsi="宋体" w:cs="宋体"/>
                <w:color w:val="auto"/>
                <w:sz w:val="21"/>
                <w:szCs w:val="21"/>
                <w:highlight w:val="none"/>
              </w:rPr>
              <w:t>4文本</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包含《房间</w:t>
            </w:r>
            <w:r>
              <w:rPr>
                <w:rFonts w:ascii="宋体" w:hAnsi="宋体" w:cs="宋体"/>
                <w:color w:val="auto"/>
                <w:sz w:val="21"/>
                <w:szCs w:val="21"/>
                <w:highlight w:val="none"/>
              </w:rPr>
              <w:t>面积分配表</w:t>
            </w:r>
            <w:r>
              <w:rPr>
                <w:rFonts w:hint="eastAsia" w:ascii="宋体" w:hAnsi="宋体" w:cs="宋体"/>
                <w:color w:val="auto"/>
                <w:sz w:val="21"/>
                <w:szCs w:val="21"/>
                <w:highlight w:val="none"/>
              </w:rPr>
              <w:t>》</w:t>
            </w:r>
            <w:r>
              <w:rPr>
                <w:rFonts w:ascii="宋体" w:hAnsi="宋体" w:cs="宋体"/>
                <w:color w:val="auto"/>
                <w:sz w:val="21"/>
                <w:szCs w:val="21"/>
                <w:highlight w:val="none"/>
              </w:rPr>
              <w:t>、</w:t>
            </w:r>
            <w:r>
              <w:rPr>
                <w:rFonts w:hint="eastAsia" w:ascii="宋体" w:hAnsi="宋体" w:cs="宋体"/>
                <w:color w:val="auto"/>
                <w:sz w:val="21"/>
                <w:szCs w:val="21"/>
                <w:highlight w:val="none"/>
              </w:rPr>
              <w:t>《大型</w:t>
            </w:r>
            <w:r>
              <w:rPr>
                <w:rFonts w:ascii="宋体" w:hAnsi="宋体" w:cs="宋体"/>
                <w:color w:val="auto"/>
                <w:sz w:val="21"/>
                <w:szCs w:val="21"/>
                <w:highlight w:val="none"/>
              </w:rPr>
              <w:t>医疗</w:t>
            </w:r>
            <w:r>
              <w:rPr>
                <w:rFonts w:hint="eastAsia" w:ascii="宋体" w:hAnsi="宋体" w:cs="宋体"/>
                <w:color w:val="auto"/>
                <w:sz w:val="21"/>
                <w:szCs w:val="21"/>
                <w:highlight w:val="none"/>
              </w:rPr>
              <w:t>设备统计表》</w:t>
            </w:r>
          </w:p>
        </w:tc>
      </w:tr>
      <w:tr>
        <w:tblPrEx>
          <w:tblCellMar>
            <w:top w:w="0" w:type="dxa"/>
            <w:left w:w="45" w:type="dxa"/>
            <w:bottom w:w="0" w:type="dxa"/>
            <w:right w:w="45" w:type="dxa"/>
          </w:tblCellMar>
        </w:tblPrEx>
        <w:trPr>
          <w:trHeight w:val="49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《平面工艺流程布置图》</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A3图册</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包</w:t>
            </w:r>
            <w:r>
              <w:rPr>
                <w:rFonts w:hint="eastAsia" w:ascii="宋体" w:hAnsi="宋体" w:cs="宋体"/>
                <w:color w:val="auto"/>
                <w:sz w:val="21"/>
                <w:szCs w:val="21"/>
                <w:highlight w:val="none"/>
              </w:rPr>
              <w:t>含</w:t>
            </w:r>
            <w:r>
              <w:rPr>
                <w:rFonts w:ascii="宋体" w:hAnsi="宋体" w:cs="宋体"/>
                <w:color w:val="auto"/>
                <w:sz w:val="21"/>
                <w:szCs w:val="21"/>
                <w:highlight w:val="none"/>
              </w:rPr>
              <w:t>一二三级《</w:t>
            </w:r>
            <w:r>
              <w:rPr>
                <w:rFonts w:hint="eastAsia" w:ascii="宋体" w:hAnsi="宋体" w:cs="宋体"/>
                <w:color w:val="auto"/>
                <w:sz w:val="21"/>
                <w:szCs w:val="21"/>
                <w:highlight w:val="none"/>
              </w:rPr>
              <w:t>平面工艺</w:t>
            </w:r>
            <w:r>
              <w:rPr>
                <w:rFonts w:ascii="宋体" w:hAnsi="宋体" w:cs="宋体"/>
                <w:color w:val="auto"/>
                <w:sz w:val="21"/>
                <w:szCs w:val="21"/>
                <w:highlight w:val="none"/>
              </w:rPr>
              <w:t>流程布置图》</w:t>
            </w:r>
          </w:p>
        </w:tc>
      </w:tr>
      <w:tr>
        <w:tblPrEx>
          <w:tblCellMar>
            <w:top w:w="0" w:type="dxa"/>
            <w:left w:w="45" w:type="dxa"/>
            <w:bottom w:w="0" w:type="dxa"/>
            <w:right w:w="45" w:type="dxa"/>
          </w:tblCellMar>
        </w:tblPrEx>
        <w:trPr>
          <w:trHeight w:val="49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《医疗设置规划书》</w:t>
            </w:r>
            <w:r>
              <w:rPr>
                <w:rFonts w:ascii="宋体" w:hAnsi="宋体" w:cs="宋体"/>
                <w:color w:val="auto"/>
                <w:sz w:val="21"/>
                <w:szCs w:val="21"/>
                <w:highlight w:val="none"/>
              </w:rPr>
              <w:t>、</w:t>
            </w:r>
            <w:r>
              <w:rPr>
                <w:rFonts w:hint="eastAsia" w:ascii="宋体" w:hAnsi="宋体" w:cs="宋体"/>
                <w:color w:val="auto"/>
                <w:sz w:val="21"/>
                <w:szCs w:val="21"/>
                <w:highlight w:val="none"/>
              </w:rPr>
              <w:t>《平面工艺流程布置图》</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ascii="宋体" w:hAnsi="宋体" w:cs="宋体"/>
                <w:color w:val="auto"/>
                <w:sz w:val="21"/>
                <w:szCs w:val="21"/>
                <w:highlight w:val="none"/>
              </w:rPr>
              <w:t>电子文档</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CAD及JPG、WORD格式电子文档</w:t>
            </w:r>
          </w:p>
        </w:tc>
      </w:tr>
      <w:tr>
        <w:tblPrEx>
          <w:tblCellMar>
            <w:top w:w="0" w:type="dxa"/>
            <w:left w:w="45" w:type="dxa"/>
            <w:bottom w:w="0" w:type="dxa"/>
            <w:right w:w="45" w:type="dxa"/>
          </w:tblCellMar>
        </w:tblPrEx>
        <w:trPr>
          <w:trHeight w:val="56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tc>
        <w:tc>
          <w:tcPr>
            <w:tcW w:w="8363" w:type="dxa"/>
            <w:gridSpan w:val="4"/>
            <w:tcBorders>
              <w:top w:val="threeDEmboss" w:color="C0C0C0" w:sz="6" w:space="0"/>
              <w:left w:val="threeDEmboss" w:color="C0C0C0" w:sz="6" w:space="0"/>
              <w:bottom w:val="threeDEmboss" w:color="C0C0C0" w:sz="6" w:space="0"/>
              <w:right w:val="threeDEmboss" w:color="C0C0C0" w:sz="6" w:space="0"/>
            </w:tcBorders>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所有设计成果资料均以文本</w:t>
            </w:r>
            <w:r>
              <w:rPr>
                <w:rFonts w:ascii="宋体" w:hAnsi="宋体" w:cs="宋体"/>
                <w:color w:val="auto"/>
                <w:sz w:val="21"/>
                <w:szCs w:val="21"/>
                <w:highlight w:val="none"/>
              </w:rPr>
              <w:t>或</w:t>
            </w:r>
            <w:r>
              <w:rPr>
                <w:rFonts w:hint="eastAsia" w:ascii="宋体" w:hAnsi="宋体" w:cs="宋体"/>
                <w:color w:val="auto"/>
                <w:sz w:val="21"/>
                <w:szCs w:val="21"/>
                <w:highlight w:val="none"/>
              </w:rPr>
              <w:t>电子文件形式交付。</w:t>
            </w:r>
            <w:r>
              <w:rPr>
                <w:rFonts w:ascii="宋体" w:hAnsi="宋体" w:cs="宋体"/>
                <w:color w:val="auto"/>
                <w:kern w:val="0"/>
                <w:sz w:val="21"/>
                <w:szCs w:val="21"/>
                <w:highlight w:val="none"/>
              </w:rPr>
              <w:t>除本合同另有约定外，本条约定的成果文件为</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应向</w:t>
            </w:r>
            <w:r>
              <w:rPr>
                <w:rFonts w:hint="eastAsia" w:ascii="宋体" w:hAnsi="宋体" w:cs="宋体"/>
                <w:color w:val="auto"/>
                <w:kern w:val="0"/>
                <w:sz w:val="21"/>
                <w:szCs w:val="21"/>
                <w:highlight w:val="none"/>
                <w:lang w:eastAsia="zh-CN"/>
              </w:rPr>
              <w:t>甲方</w:t>
            </w:r>
            <w:r>
              <w:rPr>
                <w:rFonts w:ascii="宋体" w:hAnsi="宋体" w:cs="宋体"/>
                <w:color w:val="auto"/>
                <w:kern w:val="0"/>
                <w:sz w:val="21"/>
                <w:szCs w:val="21"/>
                <w:highlight w:val="none"/>
              </w:rPr>
              <w:t>提交的本项目全部成果文件。</w:t>
            </w:r>
          </w:p>
        </w:tc>
      </w:tr>
    </w:tbl>
    <w:p>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 w:val="21"/>
          <w:szCs w:val="21"/>
          <w:highlight w:val="none"/>
        </w:rPr>
      </w:pP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78" w:name="_Toc8253"/>
      <w:bookmarkStart w:id="79" w:name="_Toc20060"/>
      <w:bookmarkStart w:id="80" w:name="_Toc16134"/>
      <w:bookmarkStart w:id="81" w:name="_Toc15606"/>
      <w:bookmarkStart w:id="82" w:name="_Toc21969"/>
      <w:bookmarkStart w:id="83" w:name="_Toc22519"/>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八</w:t>
      </w:r>
      <w:r>
        <w:rPr>
          <w:rFonts w:ascii="Arial" w:hAnsi="Arial" w:cs="Arial"/>
          <w:bCs w:val="0"/>
          <w:color w:val="auto"/>
          <w:sz w:val="21"/>
          <w:szCs w:val="21"/>
          <w:highlight w:val="none"/>
        </w:rPr>
        <w:t>条  税费</w:t>
      </w:r>
      <w:bookmarkEnd w:id="78"/>
      <w:bookmarkEnd w:id="79"/>
      <w:bookmarkEnd w:id="80"/>
      <w:bookmarkEnd w:id="81"/>
      <w:bookmarkEnd w:id="82"/>
      <w:bookmarkEnd w:id="83"/>
    </w:p>
    <w:p>
      <w:pPr>
        <w:adjustRightInd w:val="0"/>
        <w:snapToGrid w:val="0"/>
        <w:spacing w:line="324" w:lineRule="auto"/>
        <w:ind w:firstLine="420" w:firstLineChars="200"/>
        <w:rPr>
          <w:rFonts w:ascii="Arial" w:hAnsi="Arial" w:cs="Arial"/>
          <w:b/>
          <w:color w:val="auto"/>
          <w:sz w:val="21"/>
          <w:szCs w:val="21"/>
          <w:highlight w:val="none"/>
        </w:rPr>
      </w:pPr>
      <w:r>
        <w:rPr>
          <w:rFonts w:ascii="Arial" w:hAnsi="Arial" w:cs="Arial"/>
          <w:color w:val="auto"/>
          <w:sz w:val="21"/>
          <w:szCs w:val="21"/>
          <w:highlight w:val="none"/>
        </w:rPr>
        <w:t>本合同执行中相关的一切税费均由</w:t>
      </w:r>
      <w:r>
        <w:rPr>
          <w:rFonts w:hint="eastAsia" w:ascii="Arial" w:hAnsi="Arial" w:cs="Arial"/>
          <w:color w:val="auto"/>
          <w:sz w:val="21"/>
          <w:szCs w:val="21"/>
          <w:highlight w:val="none"/>
        </w:rPr>
        <w:t>乙方</w:t>
      </w:r>
      <w:r>
        <w:rPr>
          <w:rFonts w:ascii="Arial" w:hAnsi="Arial" w:cs="Arial"/>
          <w:color w:val="auto"/>
          <w:sz w:val="21"/>
          <w:szCs w:val="21"/>
          <w:highlight w:val="none"/>
        </w:rPr>
        <w:t>负担。</w:t>
      </w:r>
      <w:bookmarkStart w:id="84" w:name="_Toc19317"/>
      <w:bookmarkStart w:id="85" w:name="_Toc31516"/>
      <w:bookmarkStart w:id="86" w:name="_Toc5305"/>
      <w:bookmarkStart w:id="87" w:name="_Toc11829"/>
      <w:bookmarkStart w:id="88" w:name="_Toc29885"/>
      <w:bookmarkStart w:id="89" w:name="_Toc2313"/>
    </w:p>
    <w:p>
      <w:pPr>
        <w:adjustRightInd w:val="0"/>
        <w:snapToGrid w:val="0"/>
        <w:spacing w:line="324" w:lineRule="auto"/>
        <w:ind w:firstLine="422" w:firstLineChars="200"/>
        <w:rPr>
          <w:rFonts w:ascii="Arial" w:hAnsi="Arial" w:cs="Arial"/>
          <w:b/>
          <w:color w:val="auto"/>
          <w:sz w:val="21"/>
          <w:szCs w:val="21"/>
          <w:highlight w:val="none"/>
        </w:rPr>
      </w:pPr>
      <w:r>
        <w:rPr>
          <w:rFonts w:hint="eastAsia" w:ascii="Arial" w:hAnsi="Arial" w:cs="Arial"/>
          <w:b/>
          <w:color w:val="auto"/>
          <w:sz w:val="21"/>
          <w:szCs w:val="21"/>
          <w:highlight w:val="none"/>
        </w:rPr>
        <w:t>第</w:t>
      </w:r>
      <w:r>
        <w:rPr>
          <w:rFonts w:hint="eastAsia" w:ascii="Arial" w:hAnsi="Arial" w:cs="Arial"/>
          <w:b/>
          <w:color w:val="auto"/>
          <w:sz w:val="21"/>
          <w:szCs w:val="21"/>
          <w:highlight w:val="none"/>
          <w:lang w:val="en-US" w:eastAsia="zh-CN"/>
        </w:rPr>
        <w:t>九</w:t>
      </w:r>
      <w:r>
        <w:rPr>
          <w:rFonts w:hint="eastAsia" w:ascii="Arial" w:hAnsi="Arial" w:cs="Arial"/>
          <w:b/>
          <w:color w:val="auto"/>
          <w:sz w:val="21"/>
          <w:szCs w:val="21"/>
          <w:highlight w:val="none"/>
        </w:rPr>
        <w:t>条</w:t>
      </w:r>
      <w:r>
        <w:rPr>
          <w:rFonts w:ascii="Arial" w:hAnsi="Arial" w:cs="Arial"/>
          <w:b/>
          <w:color w:val="auto"/>
          <w:sz w:val="21"/>
          <w:szCs w:val="21"/>
          <w:highlight w:val="none"/>
        </w:rPr>
        <w:t xml:space="preserve"> 付款方式</w:t>
      </w:r>
      <w:bookmarkEnd w:id="84"/>
      <w:bookmarkEnd w:id="85"/>
      <w:bookmarkEnd w:id="86"/>
      <w:bookmarkEnd w:id="87"/>
      <w:bookmarkEnd w:id="88"/>
      <w:bookmarkEnd w:id="89"/>
      <w:bookmarkStart w:id="90" w:name="_Toc753"/>
      <w:bookmarkStart w:id="91" w:name="_Toc15524"/>
      <w:bookmarkStart w:id="92" w:name="_Toc2652"/>
      <w:bookmarkStart w:id="93" w:name="_Toc25711"/>
      <w:bookmarkStart w:id="94" w:name="_Toc7272"/>
      <w:bookmarkStart w:id="95" w:name="_Toc28580"/>
    </w:p>
    <w:tbl>
      <w:tblPr>
        <w:tblStyle w:val="33"/>
        <w:tblW w:w="5146" w:type="pct"/>
        <w:tblInd w:w="0" w:type="dxa"/>
        <w:tblLayout w:type="autofit"/>
        <w:tblCellMar>
          <w:top w:w="0" w:type="dxa"/>
          <w:left w:w="45" w:type="dxa"/>
          <w:bottom w:w="0" w:type="dxa"/>
          <w:right w:w="45" w:type="dxa"/>
        </w:tblCellMar>
      </w:tblPr>
      <w:tblGrid>
        <w:gridCol w:w="1573"/>
        <w:gridCol w:w="1070"/>
        <w:gridCol w:w="6787"/>
      </w:tblGrid>
      <w:tr>
        <w:tblPrEx>
          <w:tblCellMar>
            <w:top w:w="0" w:type="dxa"/>
            <w:left w:w="45" w:type="dxa"/>
            <w:bottom w:w="0" w:type="dxa"/>
            <w:right w:w="45" w:type="dxa"/>
          </w:tblCellMar>
        </w:tblPrEx>
        <w:trPr>
          <w:trHeight w:val="2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首付款</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30%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本合同生效后十日内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第二次付费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乙方向甲方提交前期医疗规划阶段及一级《平面工艺流程布置图》成果后十日内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第三次付费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25%</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乙方向甲方提交二级《平面工艺流程布置图》后十日内</w:t>
            </w:r>
          </w:p>
        </w:tc>
      </w:tr>
      <w:tr>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第四次付费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乙方向甲方提交三级《平面工艺流程布置图》后十日内</w:t>
            </w:r>
          </w:p>
        </w:tc>
      </w:tr>
      <w:tr>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第五次付费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5%</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pPr>
              <w:widowControl/>
              <w:tabs>
                <w:tab w:val="left" w:pos="1140"/>
              </w:tabs>
              <w:adjustRightInd w:val="0"/>
              <w:snapToGrid w:val="0"/>
              <w:spacing w:line="360" w:lineRule="auto"/>
              <w:ind w:firstLine="420" w:firstLineChars="200"/>
              <w:jc w:val="center"/>
              <w:textAlignment w:val="baseline"/>
              <w:rPr>
                <w:rStyle w:val="68"/>
                <w:rFonts w:hint="default"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乙方完成所有设计咨询工作且项目经过施工图审查后十日内</w:t>
            </w:r>
          </w:p>
        </w:tc>
      </w:tr>
      <w:tr>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after="100"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说明</w:t>
            </w:r>
          </w:p>
        </w:tc>
        <w:tc>
          <w:tcPr>
            <w:tcW w:w="4165" w:type="pct"/>
            <w:gridSpan w:val="2"/>
            <w:tcBorders>
              <w:top w:val="threeDEmboss" w:color="C0C0C0" w:sz="6" w:space="0"/>
              <w:left w:val="threeDEmboss" w:color="C0C0C0" w:sz="6" w:space="0"/>
              <w:bottom w:val="threeDEmboss" w:color="C0C0C0" w:sz="6" w:space="0"/>
              <w:right w:val="threeDEmboss" w:color="C0C0C0" w:sz="6" w:space="0"/>
            </w:tcBorders>
            <w:noWrap w:val="0"/>
            <w:vAlign w:val="center"/>
          </w:tcPr>
          <w:p>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甲方</w:t>
            </w:r>
            <w:r>
              <w:rPr>
                <w:rFonts w:hint="eastAsia" w:ascii="宋体" w:hAnsi="宋体" w:cs="宋体"/>
                <w:color w:val="auto"/>
                <w:kern w:val="0"/>
                <w:sz w:val="21"/>
                <w:szCs w:val="21"/>
                <w:highlight w:val="none"/>
              </w:rPr>
              <w:t>应</w:t>
            </w:r>
            <w:r>
              <w:rPr>
                <w:rFonts w:ascii="宋体" w:hAnsi="宋体" w:cs="宋体"/>
                <w:color w:val="auto"/>
                <w:kern w:val="0"/>
                <w:sz w:val="21"/>
                <w:szCs w:val="21"/>
                <w:highlight w:val="none"/>
              </w:rPr>
              <w:t>按照本表所列的</w:t>
            </w:r>
            <w:r>
              <w:rPr>
                <w:rFonts w:hint="eastAsia" w:ascii="宋体" w:hAnsi="宋体" w:cs="宋体"/>
                <w:color w:val="auto"/>
                <w:kern w:val="0"/>
                <w:sz w:val="21"/>
                <w:szCs w:val="21"/>
                <w:highlight w:val="none"/>
              </w:rPr>
              <w:t>支付</w:t>
            </w:r>
            <w:r>
              <w:rPr>
                <w:rFonts w:ascii="宋体" w:hAnsi="宋体" w:cs="宋体"/>
                <w:color w:val="auto"/>
                <w:kern w:val="0"/>
                <w:sz w:val="21"/>
                <w:szCs w:val="21"/>
                <w:highlight w:val="none"/>
              </w:rPr>
              <w:t>节点按期足额支付</w:t>
            </w:r>
            <w:r>
              <w:rPr>
                <w:rFonts w:hint="eastAsia" w:ascii="宋体" w:hAnsi="宋体" w:cs="宋体"/>
                <w:color w:val="auto"/>
                <w:kern w:val="0"/>
                <w:sz w:val="21"/>
                <w:szCs w:val="21"/>
                <w:highlight w:val="none"/>
              </w:rPr>
              <w:t>各阶段设计费</w:t>
            </w:r>
            <w:r>
              <w:rPr>
                <w:rFonts w:ascii="宋体" w:hAnsi="宋体" w:cs="宋体"/>
                <w:color w:val="auto"/>
                <w:kern w:val="0"/>
                <w:sz w:val="21"/>
                <w:szCs w:val="21"/>
                <w:highlight w:val="none"/>
              </w:rPr>
              <w:t>至签字栏</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预留的银行账户。</w:t>
            </w:r>
          </w:p>
          <w:p>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所需发票开票信息如下：</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单 位 名 称：</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统一社会信用代码：</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地 址、电 话：</w:t>
            </w: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开 户 行 及 帐 号：</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收款信息：</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单 位 名 称：</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统一社会信用代码：</w:t>
            </w:r>
          </w:p>
          <w:p>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地 址、电 话：</w:t>
            </w:r>
          </w:p>
          <w:p>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 户 行 及 帐 号：</w:t>
            </w: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启动下一阶段工作的前提条件为足额收到</w:t>
            </w:r>
            <w:r>
              <w:rPr>
                <w:rFonts w:hint="eastAsia" w:ascii="宋体" w:hAnsi="宋体" w:cs="宋体"/>
                <w:color w:val="auto"/>
                <w:kern w:val="0"/>
                <w:sz w:val="21"/>
                <w:szCs w:val="21"/>
                <w:highlight w:val="none"/>
                <w:lang w:eastAsia="zh-CN"/>
              </w:rPr>
              <w:t>甲方</w:t>
            </w:r>
            <w:r>
              <w:rPr>
                <w:rFonts w:ascii="宋体" w:hAnsi="宋体" w:cs="宋体"/>
                <w:color w:val="auto"/>
                <w:kern w:val="0"/>
                <w:sz w:val="21"/>
                <w:szCs w:val="21"/>
                <w:highlight w:val="none"/>
              </w:rPr>
              <w:t>支付的上一阶段设计费</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在提交最后一部分</w:t>
            </w:r>
            <w:r>
              <w:rPr>
                <w:rFonts w:ascii="宋体" w:hAnsi="宋体" w:cs="宋体"/>
                <w:color w:val="auto"/>
                <w:kern w:val="0"/>
                <w:sz w:val="21"/>
                <w:szCs w:val="21"/>
                <w:highlight w:val="none"/>
              </w:rPr>
              <w:t>成果后的</w:t>
            </w:r>
            <w:r>
              <w:rPr>
                <w:rFonts w:hint="eastAsia" w:ascii="宋体" w:hAnsi="宋体" w:cs="宋体"/>
                <w:color w:val="auto"/>
                <w:kern w:val="0"/>
                <w:sz w:val="21"/>
                <w:szCs w:val="21"/>
                <w:highlight w:val="none"/>
              </w:rPr>
              <w:t>十</w:t>
            </w:r>
            <w:r>
              <w:rPr>
                <w:rFonts w:ascii="宋体" w:hAnsi="宋体" w:cs="宋体"/>
                <w:color w:val="auto"/>
                <w:kern w:val="0"/>
                <w:sz w:val="21"/>
                <w:szCs w:val="21"/>
                <w:highlight w:val="none"/>
              </w:rPr>
              <w:t>日内，</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应结清全部设计费，不留任何尾款。</w:t>
            </w:r>
          </w:p>
          <w:p>
            <w:pPr>
              <w:autoSpaceDE w:val="0"/>
              <w:autoSpaceDN w:val="0"/>
              <w:adjustRightInd w:val="0"/>
              <w:spacing w:line="360" w:lineRule="auto"/>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4、</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应在收到</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工作成果后十日内完成确认。</w:t>
            </w:r>
            <w:r>
              <w:rPr>
                <w:rFonts w:hint="eastAsia" w:ascii="宋体" w:hAnsi="宋体" w:cs="宋体"/>
                <w:color w:val="auto"/>
                <w:sz w:val="21"/>
                <w:szCs w:val="21"/>
                <w:highlight w:val="none"/>
                <w:lang w:eastAsia="zh-CN"/>
              </w:rPr>
              <w:t>甲方</w:t>
            </w:r>
            <w:r>
              <w:rPr>
                <w:rFonts w:ascii="宋体" w:hAnsi="宋体" w:cs="宋体"/>
                <w:color w:val="auto"/>
                <w:sz w:val="21"/>
                <w:szCs w:val="21"/>
                <w:highlight w:val="none"/>
              </w:rPr>
              <w:t>在收到</w:t>
            </w:r>
            <w:r>
              <w:rPr>
                <w:rFonts w:hint="eastAsia" w:ascii="宋体" w:hAnsi="宋体" w:cs="宋体"/>
                <w:color w:val="auto"/>
                <w:sz w:val="21"/>
                <w:szCs w:val="21"/>
                <w:highlight w:val="none"/>
                <w:lang w:eastAsia="zh-CN"/>
              </w:rPr>
              <w:t>乙方</w:t>
            </w:r>
            <w:r>
              <w:rPr>
                <w:rFonts w:ascii="宋体" w:hAnsi="宋体" w:cs="宋体"/>
                <w:color w:val="auto"/>
                <w:sz w:val="21"/>
                <w:szCs w:val="21"/>
                <w:highlight w:val="none"/>
              </w:rPr>
              <w:t>提交的工作成果后</w:t>
            </w:r>
            <w:r>
              <w:rPr>
                <w:rFonts w:hint="eastAsia" w:ascii="宋体" w:hAnsi="宋体" w:cs="宋体"/>
                <w:color w:val="auto"/>
                <w:sz w:val="21"/>
                <w:szCs w:val="21"/>
                <w:highlight w:val="none"/>
              </w:rPr>
              <w:t>如有异议或修改意见的应</w:t>
            </w:r>
            <w:r>
              <w:rPr>
                <w:rFonts w:ascii="宋体" w:hAnsi="宋体" w:cs="宋体"/>
                <w:color w:val="auto"/>
                <w:sz w:val="21"/>
                <w:szCs w:val="21"/>
                <w:highlight w:val="none"/>
              </w:rPr>
              <w:t>在收到工作成果后</w:t>
            </w:r>
            <w:r>
              <w:rPr>
                <w:rFonts w:hint="eastAsia" w:ascii="宋体" w:hAnsi="宋体" w:cs="宋体"/>
                <w:color w:val="auto"/>
                <w:sz w:val="21"/>
                <w:szCs w:val="21"/>
                <w:highlight w:val="none"/>
              </w:rPr>
              <w:t>十</w:t>
            </w:r>
            <w:r>
              <w:rPr>
                <w:rFonts w:ascii="宋体" w:hAnsi="宋体" w:cs="宋体"/>
                <w:color w:val="auto"/>
                <w:sz w:val="21"/>
                <w:szCs w:val="21"/>
                <w:highlight w:val="none"/>
              </w:rPr>
              <w:t>日内</w:t>
            </w:r>
            <w:r>
              <w:rPr>
                <w:rFonts w:hint="eastAsia" w:ascii="宋体" w:hAnsi="宋体" w:cs="宋体"/>
                <w:color w:val="auto"/>
                <w:sz w:val="21"/>
                <w:szCs w:val="21"/>
                <w:highlight w:val="none"/>
              </w:rPr>
              <w:t>以书面形式向</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未向</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提出书面异议或逾期确认的，视为</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无异议并</w:t>
            </w:r>
            <w:r>
              <w:rPr>
                <w:rFonts w:ascii="宋体" w:hAnsi="宋体" w:cs="宋体"/>
                <w:color w:val="auto"/>
                <w:sz w:val="21"/>
                <w:szCs w:val="21"/>
                <w:highlight w:val="none"/>
              </w:rPr>
              <w:t>且</w:t>
            </w:r>
            <w:r>
              <w:rPr>
                <w:rFonts w:hint="eastAsia" w:ascii="宋体" w:hAnsi="宋体" w:cs="宋体"/>
                <w:color w:val="auto"/>
                <w:sz w:val="21"/>
                <w:szCs w:val="21"/>
                <w:highlight w:val="none"/>
                <w:lang w:eastAsia="zh-CN"/>
              </w:rPr>
              <w:t>乙方</w:t>
            </w:r>
            <w:r>
              <w:rPr>
                <w:rFonts w:ascii="宋体" w:hAnsi="宋体" w:cs="宋体"/>
                <w:color w:val="auto"/>
                <w:sz w:val="21"/>
                <w:szCs w:val="21"/>
                <w:highlight w:val="none"/>
              </w:rPr>
              <w:t>所提交的工作成果已经完成验收</w:t>
            </w:r>
            <w:r>
              <w:rPr>
                <w:rFonts w:hint="eastAsia" w:ascii="宋体" w:hAnsi="宋体" w:cs="宋体"/>
                <w:color w:val="auto"/>
                <w:sz w:val="21"/>
                <w:szCs w:val="21"/>
                <w:highlight w:val="none"/>
              </w:rPr>
              <w:t>确认。</w:t>
            </w:r>
          </w:p>
        </w:tc>
      </w:tr>
    </w:tbl>
    <w:p>
      <w:pPr>
        <w:pStyle w:val="3"/>
        <w:tabs>
          <w:tab w:val="left" w:pos="0"/>
        </w:tabs>
        <w:adjustRightInd w:val="0"/>
        <w:snapToGrid w:val="0"/>
        <w:spacing w:before="0" w:after="0" w:line="324" w:lineRule="auto"/>
        <w:ind w:firstLine="422" w:firstLineChars="200"/>
        <w:rPr>
          <w:rFonts w:ascii="Arial" w:hAnsi="Arial" w:cs="Arial"/>
          <w:bCs w:val="0"/>
          <w:color w:val="auto"/>
          <w:sz w:val="21"/>
          <w:szCs w:val="21"/>
          <w:highlight w:val="none"/>
        </w:rPr>
      </w:pPr>
    </w:p>
    <w:p>
      <w:pPr>
        <w:pStyle w:val="3"/>
        <w:tabs>
          <w:tab w:val="left" w:pos="0"/>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w:t>
      </w:r>
      <w:r>
        <w:rPr>
          <w:rFonts w:ascii="Arial" w:hAnsi="Arial" w:cs="Arial"/>
          <w:bCs w:val="0"/>
          <w:color w:val="auto"/>
          <w:sz w:val="21"/>
          <w:szCs w:val="21"/>
          <w:highlight w:val="none"/>
        </w:rPr>
        <w:t>条  违约责任</w:t>
      </w:r>
      <w:bookmarkEnd w:id="90"/>
      <w:bookmarkEnd w:id="91"/>
      <w:bookmarkEnd w:id="92"/>
      <w:bookmarkEnd w:id="93"/>
      <w:bookmarkEnd w:id="94"/>
      <w:bookmarkEnd w:id="95"/>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w:t>
      </w:r>
      <w:r>
        <w:rPr>
          <w:rFonts w:hint="eastAsia" w:ascii="Arial" w:hAnsi="Arial" w:cs="Arial"/>
          <w:color w:val="auto"/>
          <w:szCs w:val="21"/>
          <w:highlight w:val="none"/>
          <w:lang w:eastAsia="zh-CN"/>
        </w:rPr>
        <w:t>乙方</w:t>
      </w:r>
      <w:r>
        <w:rPr>
          <w:rFonts w:hint="eastAsia" w:ascii="Arial" w:hAnsi="Arial" w:cs="Arial"/>
          <w:color w:val="auto"/>
          <w:szCs w:val="21"/>
          <w:highlight w:val="none"/>
        </w:rPr>
        <w:t>未按合同约定时间向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提交工作成果的，自逾期之日起，应按该阶段设计费用总额每日0.5‰的标准向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支付违约金。</w:t>
      </w:r>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2</w:t>
      </w:r>
      <w:r>
        <w:rPr>
          <w:rFonts w:hint="eastAsia" w:ascii="Arial" w:hAnsi="Arial" w:cs="Arial"/>
          <w:color w:val="auto"/>
          <w:szCs w:val="21"/>
          <w:highlight w:val="none"/>
          <w:lang w:eastAsia="zh-CN"/>
        </w:rPr>
        <w:t>、乙方</w:t>
      </w:r>
      <w:r>
        <w:rPr>
          <w:rFonts w:hint="eastAsia" w:ascii="Arial" w:hAnsi="Arial" w:cs="Arial"/>
          <w:color w:val="auto"/>
          <w:szCs w:val="21"/>
          <w:highlight w:val="none"/>
        </w:rPr>
        <w:t>提交的工作成果不符合本合同要求的，除免费修改至合格外，还应按该阶段设计费用总额的1‰向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支付违约金。</w:t>
      </w:r>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3</w:t>
      </w:r>
      <w:r>
        <w:rPr>
          <w:rFonts w:hint="eastAsia" w:ascii="Arial" w:hAnsi="Arial" w:cs="Arial"/>
          <w:color w:val="auto"/>
          <w:szCs w:val="21"/>
          <w:highlight w:val="none"/>
          <w:lang w:eastAsia="zh-CN"/>
        </w:rPr>
        <w:t>、甲方</w:t>
      </w:r>
      <w:r>
        <w:rPr>
          <w:rFonts w:hint="eastAsia" w:ascii="Arial" w:hAnsi="Arial" w:cs="Arial"/>
          <w:color w:val="auto"/>
          <w:szCs w:val="21"/>
          <w:highlight w:val="none"/>
        </w:rPr>
        <w:t>未按合同约定时间及金额向</w:t>
      </w:r>
      <w:r>
        <w:rPr>
          <w:rFonts w:hint="eastAsia" w:ascii="Arial" w:hAnsi="Arial" w:cs="Arial"/>
          <w:color w:val="auto"/>
          <w:szCs w:val="21"/>
          <w:highlight w:val="none"/>
          <w:lang w:eastAsia="zh-CN"/>
        </w:rPr>
        <w:t>乙方</w:t>
      </w:r>
      <w:r>
        <w:rPr>
          <w:rFonts w:hint="eastAsia" w:ascii="Arial" w:hAnsi="Arial" w:cs="Arial"/>
          <w:color w:val="auto"/>
          <w:szCs w:val="21"/>
          <w:highlight w:val="none"/>
        </w:rPr>
        <w:t>付款的，自逾期之日起，应按逾期未付款总额每日万分之五的标准向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支付违约金。逾期达到30天的，</w:t>
      </w:r>
      <w:r>
        <w:rPr>
          <w:rFonts w:hint="eastAsia" w:ascii="Arial" w:hAnsi="Arial" w:cs="Arial"/>
          <w:color w:val="auto"/>
          <w:szCs w:val="21"/>
          <w:highlight w:val="none"/>
          <w:lang w:eastAsia="zh-CN"/>
        </w:rPr>
        <w:t>乙方</w:t>
      </w:r>
      <w:r>
        <w:rPr>
          <w:rFonts w:hint="eastAsia" w:ascii="Arial" w:hAnsi="Arial" w:cs="Arial"/>
          <w:color w:val="auto"/>
          <w:szCs w:val="21"/>
          <w:highlight w:val="none"/>
        </w:rPr>
        <w:t>有权单方解除本合同，要求</w:t>
      </w:r>
      <w:r>
        <w:rPr>
          <w:rFonts w:hint="eastAsia" w:ascii="Arial" w:hAnsi="Arial" w:cs="Arial"/>
          <w:color w:val="auto"/>
          <w:szCs w:val="21"/>
          <w:highlight w:val="none"/>
          <w:lang w:eastAsia="zh-CN"/>
        </w:rPr>
        <w:t>甲方</w:t>
      </w:r>
      <w:r>
        <w:rPr>
          <w:rFonts w:hint="eastAsia" w:ascii="Arial" w:hAnsi="Arial" w:cs="Arial"/>
          <w:color w:val="auto"/>
          <w:szCs w:val="21"/>
          <w:highlight w:val="none"/>
        </w:rPr>
        <w:t>按10.4款约定支付设计费并承担违约责任。</w:t>
      </w:r>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4、</w:t>
      </w:r>
      <w:r>
        <w:rPr>
          <w:rFonts w:hint="eastAsia" w:ascii="Arial" w:hAnsi="Arial" w:cs="Arial"/>
          <w:color w:val="auto"/>
          <w:szCs w:val="21"/>
          <w:highlight w:val="none"/>
        </w:rPr>
        <w:t>本合同生效后，因</w:t>
      </w:r>
      <w:r>
        <w:rPr>
          <w:rFonts w:hint="eastAsia" w:ascii="Arial" w:hAnsi="Arial" w:cs="Arial"/>
          <w:color w:val="auto"/>
          <w:szCs w:val="21"/>
          <w:highlight w:val="none"/>
          <w:lang w:eastAsia="zh-CN"/>
        </w:rPr>
        <w:t>甲方</w:t>
      </w:r>
      <w:r>
        <w:rPr>
          <w:rFonts w:hint="eastAsia" w:ascii="Arial" w:hAnsi="Arial" w:cs="Arial"/>
          <w:color w:val="auto"/>
          <w:szCs w:val="21"/>
          <w:highlight w:val="none"/>
        </w:rPr>
        <w:t>原因提前终止或解除合同的，</w:t>
      </w:r>
      <w:r>
        <w:rPr>
          <w:rFonts w:hint="eastAsia" w:ascii="Arial" w:hAnsi="Arial" w:cs="Arial"/>
          <w:color w:val="auto"/>
          <w:szCs w:val="21"/>
          <w:highlight w:val="none"/>
          <w:lang w:eastAsia="zh-CN"/>
        </w:rPr>
        <w:t>甲方</w:t>
      </w:r>
      <w:r>
        <w:rPr>
          <w:rFonts w:hint="eastAsia" w:ascii="Arial" w:hAnsi="Arial" w:cs="Arial"/>
          <w:color w:val="auto"/>
          <w:szCs w:val="21"/>
          <w:highlight w:val="none"/>
        </w:rPr>
        <w:t>应按以下约定向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支付设计费，并承担违约责任：如</w:t>
      </w:r>
      <w:r>
        <w:rPr>
          <w:rFonts w:hint="eastAsia" w:ascii="Arial" w:hAnsi="Arial" w:cs="Arial"/>
          <w:color w:val="auto"/>
          <w:szCs w:val="21"/>
          <w:highlight w:val="none"/>
          <w:lang w:eastAsia="zh-CN"/>
        </w:rPr>
        <w:t>乙方</w:t>
      </w:r>
      <w:r>
        <w:rPr>
          <w:rFonts w:hint="eastAsia" w:ascii="Arial" w:hAnsi="Arial" w:cs="Arial"/>
          <w:color w:val="auto"/>
          <w:szCs w:val="21"/>
          <w:highlight w:val="none"/>
        </w:rPr>
        <w:t>尚未开始工作的，</w:t>
      </w:r>
      <w:r>
        <w:rPr>
          <w:rFonts w:hint="eastAsia" w:ascii="Arial" w:hAnsi="Arial" w:cs="Arial"/>
          <w:color w:val="auto"/>
          <w:szCs w:val="21"/>
          <w:highlight w:val="none"/>
          <w:lang w:eastAsia="zh-CN"/>
        </w:rPr>
        <w:t>甲方</w:t>
      </w:r>
      <w:r>
        <w:rPr>
          <w:rFonts w:hint="eastAsia" w:ascii="Arial" w:hAnsi="Arial" w:cs="Arial"/>
          <w:color w:val="auto"/>
          <w:szCs w:val="21"/>
          <w:highlight w:val="none"/>
        </w:rPr>
        <w:t>应按设计费总额的20%向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支付违约金（</w:t>
      </w:r>
      <w:r>
        <w:rPr>
          <w:rFonts w:hint="eastAsia" w:ascii="Arial" w:hAnsi="Arial" w:cs="Arial"/>
          <w:color w:val="auto"/>
          <w:szCs w:val="21"/>
          <w:highlight w:val="none"/>
          <w:lang w:eastAsia="zh-CN"/>
        </w:rPr>
        <w:t>甲方</w:t>
      </w:r>
      <w:r>
        <w:rPr>
          <w:rFonts w:hint="eastAsia" w:ascii="Arial" w:hAnsi="Arial" w:cs="Arial"/>
          <w:color w:val="auto"/>
          <w:szCs w:val="21"/>
          <w:highlight w:val="none"/>
        </w:rPr>
        <w:t>已支付款项可以直接冲抵违约金）；如</w:t>
      </w:r>
      <w:r>
        <w:rPr>
          <w:rFonts w:hint="eastAsia" w:ascii="Arial" w:hAnsi="Arial" w:cs="Arial"/>
          <w:color w:val="auto"/>
          <w:szCs w:val="21"/>
          <w:highlight w:val="none"/>
          <w:lang w:eastAsia="zh-CN"/>
        </w:rPr>
        <w:t>乙方</w:t>
      </w:r>
      <w:r>
        <w:rPr>
          <w:rFonts w:hint="eastAsia" w:ascii="Arial" w:hAnsi="Arial" w:cs="Arial"/>
          <w:color w:val="auto"/>
          <w:szCs w:val="21"/>
          <w:highlight w:val="none"/>
        </w:rPr>
        <w:t>已经开始工作的，还应按</w:t>
      </w:r>
      <w:r>
        <w:rPr>
          <w:rFonts w:hint="eastAsia" w:ascii="Arial" w:hAnsi="Arial" w:cs="Arial"/>
          <w:color w:val="auto"/>
          <w:szCs w:val="21"/>
          <w:highlight w:val="none"/>
          <w:lang w:eastAsia="zh-CN"/>
        </w:rPr>
        <w:t>乙方</w:t>
      </w:r>
      <w:r>
        <w:rPr>
          <w:rFonts w:hint="eastAsia" w:ascii="Arial" w:hAnsi="Arial" w:cs="Arial"/>
          <w:color w:val="auto"/>
          <w:szCs w:val="21"/>
          <w:highlight w:val="none"/>
        </w:rPr>
        <w:t>已完成工作量支付相应阶段的设计费</w:t>
      </w:r>
      <w:r>
        <w:rPr>
          <w:rFonts w:hint="eastAsia" w:ascii="Arial" w:hAnsi="Arial" w:cs="Arial"/>
          <w:color w:val="auto"/>
          <w:szCs w:val="21"/>
          <w:highlight w:val="none"/>
          <w:lang w:eastAsia="zh-CN"/>
        </w:rPr>
        <w:t>，</w:t>
      </w:r>
      <w:r>
        <w:rPr>
          <w:rFonts w:hint="eastAsia" w:ascii="Arial" w:hAnsi="Arial" w:cs="Arial"/>
          <w:color w:val="auto"/>
          <w:szCs w:val="21"/>
          <w:highlight w:val="none"/>
        </w:rPr>
        <w:t>实际完成工作量不足一半时，按该阶段设计费的50%支付；超过一半时，按该阶段设计费的100%支付。</w:t>
      </w:r>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5、</w:t>
      </w:r>
      <w:r>
        <w:rPr>
          <w:rFonts w:hint="eastAsia" w:ascii="Arial" w:hAnsi="Arial" w:cs="Arial"/>
          <w:color w:val="auto"/>
          <w:szCs w:val="21"/>
          <w:highlight w:val="none"/>
        </w:rPr>
        <w:t>本合同约定违约金不足以弥补守约方损失的，违约方应对差额部分进行赔偿，赔偿范围包括守约方的实际损失、为减少或消除损失所支出的费用、合同如能履行可以获得的利益，但赔偿金累计金额不得超过合同总额的50%。</w:t>
      </w:r>
    </w:p>
    <w:p>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6、</w:t>
      </w:r>
      <w:r>
        <w:rPr>
          <w:rFonts w:hint="eastAsia" w:ascii="Arial" w:hAnsi="Arial" w:cs="Arial"/>
          <w:color w:val="auto"/>
          <w:szCs w:val="21"/>
          <w:highlight w:val="none"/>
        </w:rPr>
        <w:t>守约方为实现本合同项下对违约方的权益而支出的费用（包括诉讼费、律师费、保全费、执行费、鉴定费、差旅费用等），全部由违约方承担。</w:t>
      </w:r>
    </w:p>
    <w:p>
      <w:pPr>
        <w:adjustRightInd w:val="0"/>
        <w:snapToGrid w:val="0"/>
        <w:spacing w:line="324" w:lineRule="auto"/>
        <w:ind w:firstLine="420" w:firstLineChars="200"/>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7、甲方</w:t>
      </w:r>
      <w:r>
        <w:rPr>
          <w:rFonts w:hint="eastAsia" w:ascii="Arial" w:hAnsi="Arial" w:eastAsia="宋体" w:cs="Arial"/>
          <w:color w:val="auto"/>
          <w:sz w:val="21"/>
          <w:szCs w:val="21"/>
          <w:highlight w:val="none"/>
        </w:rPr>
        <w:t>联系人：</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联系电话：</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邮箱：</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；地址：</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w:t>
      </w:r>
    </w:p>
    <w:p>
      <w:pPr>
        <w:adjustRightInd w:val="0"/>
        <w:snapToGrid w:val="0"/>
        <w:spacing w:line="324" w:lineRule="auto"/>
        <w:ind w:firstLine="420" w:firstLineChars="200"/>
        <w:rPr>
          <w:rFonts w:ascii="Arial" w:hAnsi="Arial" w:cs="Arial"/>
          <w:color w:val="auto"/>
          <w:szCs w:val="21"/>
          <w:highlight w:val="none"/>
        </w:rPr>
      </w:pPr>
      <w:r>
        <w:rPr>
          <w:rFonts w:hint="eastAsia" w:ascii="Arial" w:hAnsi="Arial" w:eastAsia="宋体" w:cs="Arial"/>
          <w:color w:val="auto"/>
          <w:szCs w:val="21"/>
          <w:highlight w:val="none"/>
          <w:lang w:val="en-US" w:eastAsia="zh-CN"/>
        </w:rPr>
        <w:t>8、</w:t>
      </w:r>
      <w:r>
        <w:rPr>
          <w:rFonts w:hint="eastAsia" w:ascii="Arial" w:hAnsi="Arial" w:eastAsia="宋体" w:cs="Arial"/>
          <w:color w:val="auto"/>
          <w:sz w:val="21"/>
          <w:szCs w:val="21"/>
          <w:highlight w:val="none"/>
        </w:rPr>
        <w:t>乙方联系人：</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联系电话：</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邮箱：</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；地址：</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w:t>
      </w:r>
      <w:bookmarkStart w:id="96" w:name="_Toc10373"/>
      <w:bookmarkStart w:id="97" w:name="_Toc1538"/>
      <w:bookmarkStart w:id="98" w:name="_Toc8153"/>
      <w:bookmarkStart w:id="99" w:name="_Toc26595"/>
      <w:bookmarkStart w:id="100" w:name="_Toc16745"/>
      <w:bookmarkStart w:id="101" w:name="_Toc8363"/>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十一</w:t>
      </w:r>
      <w:r>
        <w:rPr>
          <w:rFonts w:ascii="Arial" w:hAnsi="Arial" w:cs="Arial"/>
          <w:bCs w:val="0"/>
          <w:color w:val="auto"/>
          <w:sz w:val="21"/>
          <w:szCs w:val="21"/>
          <w:highlight w:val="none"/>
        </w:rPr>
        <w:t>条  不可抗力事件处理</w:t>
      </w:r>
      <w:bookmarkEnd w:id="96"/>
      <w:bookmarkEnd w:id="97"/>
      <w:bookmarkEnd w:id="98"/>
      <w:bookmarkEnd w:id="99"/>
      <w:bookmarkEnd w:id="100"/>
      <w:bookmarkEnd w:id="101"/>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1、在合同有效期内，</w:t>
      </w:r>
      <w:r>
        <w:rPr>
          <w:rFonts w:hint="eastAsia" w:ascii="Arial" w:hAnsi="Arial" w:cs="Arial"/>
          <w:color w:val="auto"/>
          <w:szCs w:val="21"/>
          <w:highlight w:val="none"/>
        </w:rPr>
        <w:t>乙方</w:t>
      </w:r>
      <w:r>
        <w:rPr>
          <w:rFonts w:ascii="Arial" w:hAnsi="Arial" w:cs="Arial"/>
          <w:color w:val="auto"/>
          <w:szCs w:val="21"/>
          <w:highlight w:val="none"/>
        </w:rPr>
        <w:t>因不可抗力事件导致不能履行合同，则合同履行期可延长，其延长期与不可抗力影响期相同。</w:t>
      </w:r>
    </w:p>
    <w:p>
      <w:pPr>
        <w:numPr>
          <w:ilvl w:val="0"/>
          <w:numId w:val="5"/>
        </w:numPr>
        <w:adjustRightInd w:val="0"/>
        <w:snapToGrid w:val="0"/>
        <w:spacing w:line="324" w:lineRule="auto"/>
        <w:ind w:left="0" w:firstLine="420" w:firstLineChars="200"/>
        <w:rPr>
          <w:rFonts w:ascii="Arial" w:hAnsi="Arial" w:cs="Arial"/>
          <w:color w:val="auto"/>
          <w:szCs w:val="21"/>
          <w:highlight w:val="none"/>
        </w:rPr>
      </w:pPr>
      <w:r>
        <w:rPr>
          <w:rFonts w:ascii="Arial" w:hAnsi="Arial" w:cs="Arial"/>
          <w:color w:val="auto"/>
          <w:szCs w:val="21"/>
          <w:highlight w:val="none"/>
        </w:rPr>
        <w:t>不可抗力事件发生后，应立即通知对方，并寄送有关权威机构出具的证明。</w:t>
      </w:r>
    </w:p>
    <w:p>
      <w:pPr>
        <w:numPr>
          <w:ilvl w:val="0"/>
          <w:numId w:val="5"/>
        </w:numPr>
        <w:adjustRightInd w:val="0"/>
        <w:snapToGrid w:val="0"/>
        <w:spacing w:line="324" w:lineRule="auto"/>
        <w:ind w:left="0" w:firstLine="420" w:firstLineChars="200"/>
        <w:rPr>
          <w:rFonts w:ascii="Arial" w:hAnsi="Arial" w:cs="Arial"/>
          <w:color w:val="auto"/>
          <w:szCs w:val="21"/>
          <w:highlight w:val="none"/>
        </w:rPr>
      </w:pPr>
      <w:r>
        <w:rPr>
          <w:rFonts w:ascii="Arial" w:hAnsi="Arial" w:cs="Arial"/>
          <w:color w:val="auto"/>
          <w:szCs w:val="21"/>
          <w:highlight w:val="none"/>
        </w:rPr>
        <w:t>不可抗力事件延续一百二十天以上，双方应通过友好协商，确定是否继续履行合同。</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02" w:name="_Toc12796"/>
      <w:bookmarkStart w:id="103" w:name="_Toc7311"/>
      <w:bookmarkStart w:id="104" w:name="_Toc13540"/>
      <w:bookmarkStart w:id="105" w:name="_Toc9808"/>
      <w:bookmarkStart w:id="106" w:name="_Toc8638"/>
      <w:bookmarkStart w:id="107" w:name="_Toc3421"/>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十二</w:t>
      </w:r>
      <w:r>
        <w:rPr>
          <w:rFonts w:ascii="Arial" w:hAnsi="Arial" w:cs="Arial"/>
          <w:bCs w:val="0"/>
          <w:color w:val="auto"/>
          <w:sz w:val="21"/>
          <w:szCs w:val="21"/>
          <w:highlight w:val="none"/>
        </w:rPr>
        <w:t>条  合同争议解决</w:t>
      </w:r>
      <w:bookmarkEnd w:id="102"/>
      <w:bookmarkEnd w:id="103"/>
      <w:bookmarkEnd w:id="104"/>
      <w:bookmarkEnd w:id="105"/>
      <w:bookmarkEnd w:id="106"/>
      <w:bookmarkEnd w:id="107"/>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1、因服务问题发生争议的，应邀请国家认可的相关机构进行鉴定。服务符合要求的，鉴定费由</w:t>
      </w:r>
      <w:r>
        <w:rPr>
          <w:rFonts w:hint="eastAsia" w:ascii="Arial" w:hAnsi="Arial" w:cs="Arial"/>
          <w:color w:val="auto"/>
          <w:szCs w:val="21"/>
          <w:highlight w:val="none"/>
        </w:rPr>
        <w:t>甲方</w:t>
      </w:r>
      <w:r>
        <w:rPr>
          <w:rFonts w:ascii="Arial" w:hAnsi="Arial" w:cs="Arial"/>
          <w:color w:val="auto"/>
          <w:szCs w:val="21"/>
          <w:highlight w:val="none"/>
        </w:rPr>
        <w:t>承担；服务不符合要求的，鉴定费由成</w:t>
      </w:r>
      <w:r>
        <w:rPr>
          <w:rFonts w:hint="eastAsia" w:ascii="Arial" w:hAnsi="Arial" w:cs="Arial"/>
          <w:color w:val="auto"/>
          <w:szCs w:val="21"/>
          <w:highlight w:val="none"/>
        </w:rPr>
        <w:t>乙方</w:t>
      </w:r>
      <w:r>
        <w:rPr>
          <w:rFonts w:ascii="Arial" w:hAnsi="Arial" w:cs="Arial"/>
          <w:color w:val="auto"/>
          <w:szCs w:val="21"/>
          <w:highlight w:val="none"/>
        </w:rPr>
        <w:t>承担。</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2、因履行本合同引起的或与本合同有关的争议，甲乙双方应首先通过友好协商解决，如果协商不能解决，可向向</w:t>
      </w:r>
      <w:r>
        <w:rPr>
          <w:rFonts w:ascii="Arial" w:hAnsi="Arial" w:cs="Arial"/>
          <w:color w:val="auto"/>
          <w:highlight w:val="none"/>
        </w:rPr>
        <w:t>桂林市</w:t>
      </w:r>
      <w:r>
        <w:rPr>
          <w:rFonts w:ascii="Arial" w:hAnsi="Arial" w:cs="Arial"/>
          <w:color w:val="auto"/>
          <w:szCs w:val="21"/>
          <w:highlight w:val="none"/>
        </w:rPr>
        <w:t>人民法院提起诉讼。</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3、诉讼期间，本合同继续履行。</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08" w:name="_Toc26285"/>
      <w:bookmarkStart w:id="109" w:name="_Toc13538"/>
      <w:bookmarkStart w:id="110" w:name="_Toc27483"/>
      <w:bookmarkStart w:id="111" w:name="_Toc3036"/>
      <w:bookmarkStart w:id="112" w:name="_Toc17823"/>
      <w:bookmarkStart w:id="113" w:name="_Toc13115"/>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三</w:t>
      </w:r>
      <w:r>
        <w:rPr>
          <w:rFonts w:ascii="Arial" w:hAnsi="Arial" w:cs="Arial"/>
          <w:bCs w:val="0"/>
          <w:color w:val="auto"/>
          <w:sz w:val="21"/>
          <w:szCs w:val="21"/>
          <w:highlight w:val="none"/>
        </w:rPr>
        <w:t>条  合同生效及其它</w:t>
      </w:r>
      <w:bookmarkEnd w:id="108"/>
      <w:bookmarkEnd w:id="109"/>
      <w:bookmarkEnd w:id="110"/>
      <w:bookmarkEnd w:id="111"/>
      <w:bookmarkEnd w:id="112"/>
      <w:bookmarkEnd w:id="113"/>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1、合同经甲乙双方法定代表人或授权代表签字并加盖单位公章后生效。</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2、合同执行中涉及采购资金和采购内容修改或补充的，需本级财政部门审批，并签订书面补充协议报</w:t>
      </w:r>
      <w:r>
        <w:rPr>
          <w:rFonts w:ascii="Arial" w:hAnsi="Arial" w:cs="Arial"/>
          <w:color w:val="auto"/>
          <w:highlight w:val="none"/>
        </w:rPr>
        <w:t>本级财政部门</w:t>
      </w:r>
      <w:r>
        <w:rPr>
          <w:rFonts w:ascii="Arial" w:hAnsi="Arial" w:cs="Arial"/>
          <w:color w:val="auto"/>
          <w:szCs w:val="21"/>
          <w:highlight w:val="none"/>
        </w:rPr>
        <w:t>备案，方可作为主合同不可分割的一部分。</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3、本合同未尽事宜，遵照《中华人民共和国民法典》有关条文执行。</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14" w:name="_Toc12358"/>
      <w:bookmarkStart w:id="115" w:name="_Toc12956"/>
      <w:bookmarkStart w:id="116" w:name="_Toc31438"/>
      <w:bookmarkStart w:id="117" w:name="_Toc22999"/>
      <w:bookmarkStart w:id="118" w:name="_Toc7824"/>
      <w:bookmarkStart w:id="119" w:name="_Toc14061"/>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四</w:t>
      </w:r>
      <w:r>
        <w:rPr>
          <w:rFonts w:ascii="Arial" w:hAnsi="Arial" w:cs="Arial"/>
          <w:bCs w:val="0"/>
          <w:color w:val="auto"/>
          <w:sz w:val="21"/>
          <w:szCs w:val="21"/>
          <w:highlight w:val="none"/>
        </w:rPr>
        <w:t>条  合同的变更、终止与转让</w:t>
      </w:r>
      <w:bookmarkEnd w:id="114"/>
      <w:bookmarkEnd w:id="115"/>
      <w:bookmarkEnd w:id="116"/>
      <w:bookmarkEnd w:id="117"/>
      <w:bookmarkEnd w:id="118"/>
      <w:bookmarkEnd w:id="119"/>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1、除《中华人民共和国政府采购法》第五十条规定的情形外，本合同一经签订，甲乙双方不得擅自变更，中止或终止。</w:t>
      </w:r>
    </w:p>
    <w:p>
      <w:pPr>
        <w:numPr>
          <w:ilvl w:val="0"/>
          <w:numId w:val="6"/>
        </w:numPr>
        <w:adjustRightInd w:val="0"/>
        <w:snapToGrid w:val="0"/>
        <w:spacing w:line="324" w:lineRule="auto"/>
        <w:ind w:left="0" w:firstLine="420" w:firstLineChars="200"/>
        <w:rPr>
          <w:rFonts w:ascii="Arial" w:hAnsi="Arial" w:cs="Arial"/>
          <w:color w:val="auto"/>
          <w:szCs w:val="21"/>
          <w:highlight w:val="none"/>
        </w:rPr>
      </w:pPr>
      <w:r>
        <w:rPr>
          <w:rFonts w:hint="eastAsia" w:ascii="Arial" w:hAnsi="Arial" w:cs="Arial"/>
          <w:color w:val="auto"/>
          <w:szCs w:val="21"/>
          <w:highlight w:val="none"/>
        </w:rPr>
        <w:t>乙方</w:t>
      </w:r>
      <w:r>
        <w:rPr>
          <w:rFonts w:ascii="Arial" w:hAnsi="Arial" w:cs="Arial"/>
          <w:color w:val="auto"/>
          <w:szCs w:val="21"/>
          <w:highlight w:val="none"/>
        </w:rPr>
        <w:t>不得擅自转让其应履行的合同义务。</w:t>
      </w:r>
    </w:p>
    <w:p>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20" w:name="_Toc31091"/>
      <w:bookmarkStart w:id="121" w:name="_Toc14327"/>
      <w:bookmarkStart w:id="122" w:name="_Toc19437"/>
      <w:bookmarkStart w:id="123" w:name="_Toc19482"/>
      <w:bookmarkStart w:id="124" w:name="_Toc3837"/>
      <w:bookmarkStart w:id="125" w:name="_Toc32608"/>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五</w:t>
      </w:r>
      <w:r>
        <w:rPr>
          <w:rFonts w:ascii="Arial" w:hAnsi="Arial" w:cs="Arial"/>
          <w:bCs w:val="0"/>
          <w:color w:val="auto"/>
          <w:sz w:val="21"/>
          <w:szCs w:val="21"/>
          <w:highlight w:val="none"/>
        </w:rPr>
        <w:t>条  签订本合同依据</w:t>
      </w:r>
      <w:bookmarkEnd w:id="120"/>
      <w:bookmarkEnd w:id="121"/>
      <w:bookmarkEnd w:id="122"/>
      <w:bookmarkEnd w:id="123"/>
      <w:bookmarkEnd w:id="124"/>
      <w:bookmarkEnd w:id="125"/>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1、竞争性磋商文件；</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乙方</w:t>
      </w:r>
      <w:r>
        <w:rPr>
          <w:rFonts w:ascii="Arial" w:hAnsi="Arial" w:cs="Arial"/>
          <w:color w:val="auto"/>
          <w:szCs w:val="21"/>
          <w:highlight w:val="none"/>
        </w:rPr>
        <w:t>的响应（或应答）文件；</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3、服务承诺书；</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4、磋商中的磋商记录；</w:t>
      </w:r>
    </w:p>
    <w:p>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5、成交通知书。</w:t>
      </w:r>
    </w:p>
    <w:p>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本合同甲乙双方签字盖章后生效，一式</w:t>
      </w:r>
      <w:r>
        <w:rPr>
          <w:rFonts w:hint="eastAsia" w:ascii="Arial" w:hAnsi="Arial" w:cs="Arial"/>
          <w:color w:val="auto"/>
          <w:highlight w:val="none"/>
        </w:rPr>
        <w:t>伍</w:t>
      </w:r>
      <w:r>
        <w:rPr>
          <w:rFonts w:ascii="Arial" w:hAnsi="Arial" w:cs="Arial"/>
          <w:color w:val="auto"/>
          <w:highlight w:val="none"/>
        </w:rPr>
        <w:t>份，具有同等法律效力，</w:t>
      </w:r>
      <w:r>
        <w:rPr>
          <w:rFonts w:hint="eastAsia" w:ascii="Arial" w:hAnsi="Arial" w:cs="Arial"/>
          <w:color w:val="auto"/>
          <w:highlight w:val="none"/>
        </w:rPr>
        <w:t>甲方三份，乙方一份，采购代理机构一份</w:t>
      </w:r>
      <w:r>
        <w:rPr>
          <w:rFonts w:ascii="Arial" w:hAnsi="Arial" w:cs="Arial"/>
          <w:color w:val="auto"/>
          <w:highlight w:val="none"/>
        </w:rPr>
        <w:t>。双方自签订之日起一个工作日内，乙方将合同原件一份交采购代理机构。</w:t>
      </w:r>
    </w:p>
    <w:p>
      <w:pPr>
        <w:adjustRightInd w:val="0"/>
        <w:snapToGrid w:val="0"/>
        <w:spacing w:line="324" w:lineRule="auto"/>
        <w:ind w:firstLine="420" w:firstLineChars="200"/>
        <w:rPr>
          <w:rFonts w:ascii="Arial" w:hAnsi="Arial" w:cs="Arial"/>
          <w:color w:val="auto"/>
          <w:szCs w:val="21"/>
          <w:highlight w:val="none"/>
        </w:rPr>
      </w:pPr>
    </w:p>
    <w:p>
      <w:pPr>
        <w:adjustRightInd w:val="0"/>
        <w:snapToGrid w:val="0"/>
        <w:spacing w:line="324" w:lineRule="auto"/>
        <w:ind w:left="420" w:leftChars="200"/>
        <w:rPr>
          <w:rFonts w:ascii="Arial" w:hAnsi="Arial" w:cs="Arial"/>
          <w:color w:val="auto"/>
          <w:szCs w:val="21"/>
          <w:highlight w:val="none"/>
          <w:u w:val="single"/>
        </w:rPr>
      </w:pPr>
      <w:r>
        <w:rPr>
          <w:rFonts w:hint="eastAsia" w:ascii="Arial" w:hAnsi="Arial" w:cs="Arial"/>
          <w:color w:val="auto"/>
          <w:szCs w:val="21"/>
          <w:highlight w:val="none"/>
        </w:rPr>
        <w:t>甲方</w:t>
      </w:r>
      <w:r>
        <w:rPr>
          <w:rFonts w:ascii="Arial" w:hAnsi="Arial" w:cs="Arial"/>
          <w:color w:val="auto"/>
          <w:szCs w:val="21"/>
          <w:highlight w:val="none"/>
        </w:rPr>
        <w:t>名称（公章）：</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 xml:space="preserve">       </w:t>
      </w:r>
      <w:r>
        <w:rPr>
          <w:rFonts w:hint="eastAsia" w:ascii="Arial" w:hAnsi="Arial" w:cs="Arial"/>
          <w:color w:val="auto"/>
          <w:szCs w:val="21"/>
          <w:highlight w:val="none"/>
        </w:rPr>
        <w:t>乙方</w:t>
      </w:r>
      <w:r>
        <w:rPr>
          <w:rFonts w:ascii="Arial" w:hAnsi="Arial" w:cs="Arial"/>
          <w:color w:val="auto"/>
          <w:szCs w:val="21"/>
          <w:highlight w:val="none"/>
        </w:rPr>
        <w:t>名称（公章）：</w:t>
      </w:r>
      <w:r>
        <w:rPr>
          <w:rFonts w:ascii="Arial" w:hAnsi="Arial" w:cs="Arial"/>
          <w:color w:val="auto"/>
          <w:szCs w:val="21"/>
          <w:highlight w:val="none"/>
          <w:u w:val="single"/>
        </w:rPr>
        <w:t xml:space="preserve">                 </w:t>
      </w:r>
    </w:p>
    <w:p>
      <w:pPr>
        <w:adjustRightInd w:val="0"/>
        <w:snapToGrid w:val="0"/>
        <w:spacing w:line="324" w:lineRule="auto"/>
        <w:ind w:left="420" w:leftChars="200"/>
        <w:rPr>
          <w:rFonts w:ascii="Arial" w:hAnsi="Arial" w:cs="Arial"/>
          <w:color w:val="auto"/>
          <w:szCs w:val="21"/>
          <w:highlight w:val="none"/>
          <w:u w:val="single"/>
        </w:rPr>
      </w:pPr>
      <w:r>
        <w:rPr>
          <w:rFonts w:ascii="Arial" w:hAnsi="Arial" w:cs="Arial"/>
          <w:color w:val="auto"/>
          <w:szCs w:val="21"/>
          <w:highlight w:val="none"/>
        </w:rPr>
        <w:t>法定代表人：</w:t>
      </w:r>
      <w:r>
        <w:rPr>
          <w:rFonts w:ascii="Arial" w:hAnsi="Arial" w:cs="Arial"/>
          <w:color w:val="auto"/>
          <w:szCs w:val="21"/>
          <w:highlight w:val="none"/>
          <w:u w:val="single"/>
        </w:rPr>
        <w:t xml:space="preserve">                           </w:t>
      </w:r>
      <w:r>
        <w:rPr>
          <w:rFonts w:ascii="Arial" w:hAnsi="Arial" w:cs="Arial"/>
          <w:color w:val="auto"/>
          <w:szCs w:val="21"/>
          <w:highlight w:val="none"/>
        </w:rPr>
        <w:t xml:space="preserve">        法定代表人：</w:t>
      </w:r>
      <w:r>
        <w:rPr>
          <w:rFonts w:ascii="Arial" w:hAnsi="Arial" w:cs="Arial"/>
          <w:color w:val="auto"/>
          <w:szCs w:val="21"/>
          <w:highlight w:val="none"/>
          <w:u w:val="single"/>
        </w:rPr>
        <w:t xml:space="preserve">                             </w:t>
      </w:r>
    </w:p>
    <w:p>
      <w:pPr>
        <w:tabs>
          <w:tab w:val="left" w:pos="4680"/>
        </w:tabs>
        <w:adjustRightInd w:val="0"/>
        <w:snapToGrid w:val="0"/>
        <w:spacing w:line="324" w:lineRule="auto"/>
        <w:ind w:firstLine="420" w:firstLineChars="200"/>
        <w:rPr>
          <w:rFonts w:ascii="Arial" w:hAnsi="Arial" w:cs="Arial"/>
          <w:color w:val="auto"/>
          <w:szCs w:val="21"/>
          <w:highlight w:val="none"/>
          <w:u w:val="single"/>
        </w:rPr>
      </w:pPr>
      <w:r>
        <w:rPr>
          <w:rFonts w:ascii="Arial" w:hAnsi="Arial" w:cs="Arial"/>
          <w:color w:val="auto"/>
          <w:szCs w:val="21"/>
          <w:highlight w:val="none"/>
        </w:rPr>
        <w:t>委托代理人：</w:t>
      </w:r>
      <w:r>
        <w:rPr>
          <w:rFonts w:ascii="Arial" w:hAnsi="Arial" w:cs="Arial"/>
          <w:color w:val="auto"/>
          <w:szCs w:val="21"/>
          <w:highlight w:val="none"/>
          <w:u w:val="single"/>
        </w:rPr>
        <w:t xml:space="preserve">                           </w:t>
      </w:r>
      <w:r>
        <w:rPr>
          <w:rFonts w:ascii="Arial" w:hAnsi="Arial" w:cs="Arial"/>
          <w:color w:val="auto"/>
          <w:szCs w:val="21"/>
          <w:highlight w:val="none"/>
        </w:rPr>
        <w:t xml:space="preserve">        委托代理人：</w:t>
      </w:r>
      <w:r>
        <w:rPr>
          <w:rFonts w:ascii="Arial" w:hAnsi="Arial" w:cs="Arial"/>
          <w:color w:val="auto"/>
          <w:szCs w:val="21"/>
          <w:highlight w:val="none"/>
          <w:u w:val="single"/>
        </w:rPr>
        <w:t xml:space="preserve">                            </w:t>
      </w:r>
    </w:p>
    <w:p>
      <w:pPr>
        <w:tabs>
          <w:tab w:val="left" w:pos="5040"/>
        </w:tabs>
        <w:adjustRightInd w:val="0"/>
        <w:snapToGrid w:val="0"/>
        <w:spacing w:line="324" w:lineRule="auto"/>
        <w:ind w:firstLine="420" w:firstLineChars="200"/>
        <w:rPr>
          <w:rFonts w:ascii="Arial" w:hAnsi="Arial" w:cs="Arial"/>
          <w:color w:val="auto"/>
          <w:szCs w:val="21"/>
          <w:highlight w:val="none"/>
          <w:u w:val="single"/>
        </w:rPr>
      </w:pPr>
      <w:r>
        <w:rPr>
          <w:rFonts w:ascii="Arial" w:hAnsi="Arial" w:cs="Arial"/>
          <w:color w:val="auto"/>
          <w:szCs w:val="21"/>
          <w:highlight w:val="none"/>
        </w:rPr>
        <w:t>电  话：</w:t>
      </w:r>
      <w:r>
        <w:rPr>
          <w:rFonts w:ascii="Arial" w:hAnsi="Arial" w:cs="Arial"/>
          <w:color w:val="auto"/>
          <w:szCs w:val="21"/>
          <w:highlight w:val="none"/>
          <w:u w:val="single"/>
        </w:rPr>
        <w:t xml:space="preserve">                               </w:t>
      </w:r>
      <w:r>
        <w:rPr>
          <w:rFonts w:ascii="Arial" w:hAnsi="Arial" w:cs="Arial"/>
          <w:color w:val="auto"/>
          <w:szCs w:val="21"/>
          <w:highlight w:val="none"/>
        </w:rPr>
        <w:t xml:space="preserve">        电   话： </w:t>
      </w:r>
      <w:r>
        <w:rPr>
          <w:rFonts w:ascii="Arial" w:hAnsi="Arial" w:cs="Arial"/>
          <w:color w:val="auto"/>
          <w:szCs w:val="21"/>
          <w:highlight w:val="none"/>
          <w:u w:val="single"/>
        </w:rPr>
        <w:t xml:space="preserve">                               </w:t>
      </w:r>
    </w:p>
    <w:p>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开户名称：</w:t>
      </w:r>
      <w:r>
        <w:rPr>
          <w:rFonts w:ascii="Arial" w:hAnsi="Arial" w:cs="Arial"/>
          <w:color w:val="auto"/>
          <w:szCs w:val="21"/>
          <w:highlight w:val="none"/>
          <w:u w:val="single"/>
        </w:rPr>
        <w:t xml:space="preserve">                             </w:t>
      </w:r>
      <w:r>
        <w:rPr>
          <w:rFonts w:ascii="Arial" w:hAnsi="Arial" w:cs="Arial"/>
          <w:color w:val="auto"/>
          <w:szCs w:val="21"/>
          <w:highlight w:val="none"/>
        </w:rPr>
        <w:t xml:space="preserve">        开户名称：</w:t>
      </w:r>
      <w:r>
        <w:rPr>
          <w:rFonts w:ascii="Arial" w:hAnsi="Arial" w:cs="Arial"/>
          <w:color w:val="auto"/>
          <w:szCs w:val="21"/>
          <w:highlight w:val="none"/>
          <w:u w:val="single"/>
        </w:rPr>
        <w:t xml:space="preserve">                               </w:t>
      </w:r>
    </w:p>
    <w:p>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开户银行：</w:t>
      </w:r>
      <w:r>
        <w:rPr>
          <w:rFonts w:ascii="Arial" w:hAnsi="Arial" w:cs="Arial"/>
          <w:color w:val="auto"/>
          <w:szCs w:val="21"/>
          <w:highlight w:val="none"/>
          <w:u w:val="single"/>
        </w:rPr>
        <w:t xml:space="preserve">                               </w:t>
      </w:r>
    </w:p>
    <w:p>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银行账号：</w:t>
      </w:r>
      <w:r>
        <w:rPr>
          <w:rFonts w:ascii="Arial" w:hAnsi="Arial" w:cs="Arial"/>
          <w:color w:val="auto"/>
          <w:szCs w:val="21"/>
          <w:highlight w:val="none"/>
          <w:u w:val="single"/>
        </w:rPr>
        <w:t xml:space="preserve">                             </w:t>
      </w:r>
      <w:r>
        <w:rPr>
          <w:rFonts w:ascii="Arial" w:hAnsi="Arial" w:cs="Arial"/>
          <w:color w:val="auto"/>
          <w:szCs w:val="21"/>
          <w:highlight w:val="none"/>
        </w:rPr>
        <w:t xml:space="preserve">        银行账号：</w:t>
      </w:r>
      <w:r>
        <w:rPr>
          <w:rFonts w:ascii="Arial" w:hAnsi="Arial" w:cs="Arial"/>
          <w:color w:val="auto"/>
          <w:szCs w:val="21"/>
          <w:highlight w:val="none"/>
          <w:u w:val="single"/>
        </w:rPr>
        <w:t xml:space="preserve">                               </w:t>
      </w:r>
    </w:p>
    <w:p>
      <w:pPr>
        <w:tabs>
          <w:tab w:val="left" w:pos="5040"/>
        </w:tabs>
        <w:adjustRightInd w:val="0"/>
        <w:snapToGrid w:val="0"/>
        <w:spacing w:line="324" w:lineRule="auto"/>
        <w:ind w:firstLine="420" w:firstLineChars="200"/>
        <w:rPr>
          <w:rFonts w:ascii="Arial" w:hAnsi="Arial" w:cs="Arial"/>
          <w:color w:val="auto"/>
          <w:highlight w:val="none"/>
        </w:rPr>
      </w:pPr>
      <w:r>
        <w:rPr>
          <w:rFonts w:ascii="Arial" w:hAnsi="Arial" w:cs="Arial"/>
          <w:color w:val="auto"/>
          <w:szCs w:val="21"/>
          <w:highlight w:val="none"/>
        </w:rPr>
        <w:t>日    期：</w:t>
      </w:r>
      <w:r>
        <w:rPr>
          <w:rFonts w:ascii="Arial" w:hAnsi="Arial" w:cs="Arial"/>
          <w:color w:val="auto"/>
          <w:szCs w:val="21"/>
          <w:highlight w:val="none"/>
          <w:u w:val="single"/>
        </w:rPr>
        <w:t xml:space="preserve">                           </w:t>
      </w:r>
      <w:r>
        <w:rPr>
          <w:rFonts w:ascii="Arial" w:hAnsi="Arial" w:cs="Arial"/>
          <w:color w:val="auto"/>
          <w:szCs w:val="21"/>
          <w:highlight w:val="none"/>
        </w:rPr>
        <w:t xml:space="preserve">         日    期：</w:t>
      </w:r>
      <w:r>
        <w:rPr>
          <w:rFonts w:ascii="Arial" w:hAnsi="Arial" w:cs="Arial"/>
          <w:color w:val="auto"/>
          <w:szCs w:val="21"/>
          <w:highlight w:val="none"/>
          <w:u w:val="single"/>
        </w:rPr>
        <w:t xml:space="preserve">                                </w:t>
      </w:r>
    </w:p>
    <w:p>
      <w:pPr>
        <w:pStyle w:val="84"/>
        <w:adjustRightInd w:val="0"/>
        <w:snapToGrid w:val="0"/>
        <w:spacing w:line="324" w:lineRule="auto"/>
        <w:ind w:firstLine="420" w:firstLineChars="200"/>
        <w:rPr>
          <w:rFonts w:ascii="Arial" w:hAnsi="Arial" w:cs="Arial"/>
          <w:color w:val="auto"/>
          <w:highlight w:val="none"/>
        </w:rPr>
      </w:pPr>
    </w:p>
    <w:sectPr>
      <w:footerReference r:id="rId8" w:type="first"/>
      <w:footerReference r:id="rId7" w:type="default"/>
      <w:pgSz w:w="11906" w:h="16838"/>
      <w:pgMar w:top="1417" w:right="1417" w:bottom="1417" w:left="14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Noto Sans SC"/>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mFus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rihx3OLAL9+/XX78uvz8Sl4t&#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I5hbrLAQAAnAMAAA4AAAAAAAAAAQAgAAAAHgEAAGRycy9lMm9E&#10;b2MueG1sUEsFBgAAAAAGAAYAWQEAAFs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INB4MzAEAAJwDAAAOAAAAAAAAAAEAIAAAAB4BAABkcnMvZTJv&#10;RG9jLnhtbFBLBQYAAAAABgAGAFkBAABc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Qxp2HLAQAAnAMAAA4AAAAAAAAAAQAgAAAAHgEAAGRycy9lMm9E&#10;b2MueG1sUEsFBgAAAAAGAAYAWQEAAFs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right="900"/>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0"/>
      </w:pBdr>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EC16C143"/>
    <w:multiLevelType w:val="singleLevel"/>
    <w:tmpl w:val="EC16C143"/>
    <w:lvl w:ilvl="0" w:tentative="0">
      <w:start w:val="3"/>
      <w:numFmt w:val="chineseCounting"/>
      <w:suff w:val="nothing"/>
      <w:lvlText w:val="%1、"/>
      <w:lvlJc w:val="left"/>
      <w:rPr>
        <w:rFonts w:hint="eastAsia"/>
      </w:rPr>
    </w:lvl>
  </w:abstractNum>
  <w:abstractNum w:abstractNumId="2">
    <w:nsid w:val="247EAFEA"/>
    <w:multiLevelType w:val="singleLevel"/>
    <w:tmpl w:val="247EAFEA"/>
    <w:lvl w:ilvl="0" w:tentative="0">
      <w:start w:val="1"/>
      <w:numFmt w:val="decimal"/>
      <w:suff w:val="nothing"/>
      <w:lvlText w:val="%1、"/>
      <w:lvlJc w:val="left"/>
    </w:lvl>
  </w:abstractNum>
  <w:abstractNum w:abstractNumId="3">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1DA1E77"/>
    <w:multiLevelType w:val="singleLevel"/>
    <w:tmpl w:val="71DA1E77"/>
    <w:lvl w:ilvl="0" w:tentative="0">
      <w:start w:val="1"/>
      <w:numFmt w:val="decimal"/>
      <w:suff w:val="nothing"/>
      <w:lvlText w:val="%1、"/>
      <w:lvlJc w:val="left"/>
    </w:lvl>
  </w:abstractNum>
  <w:num w:numId="1">
    <w:abstractNumId w:val="0"/>
  </w:num>
  <w:num w:numId="2">
    <w:abstractNumId w:val="1"/>
  </w:num>
  <w:num w:numId="3">
    <w:abstractNumId w:val="5"/>
  </w:num>
  <w:num w:numId="4">
    <w:abstractNumId w:val="2"/>
  </w:num>
  <w:num w:numId="5">
    <w:abstractNumId w:val="4"/>
    <w:lvlOverride w:ilvl="0">
      <w:startOverride w:val="2"/>
    </w:lvlOverride>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 w:name="KSO_WPS_MARK_KEY" w:val="bae5afc7-e8b5-468d-8fe0-a8389af66c87"/>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47F"/>
    <w:rsid w:val="000D4589"/>
    <w:rsid w:val="000D6487"/>
    <w:rsid w:val="000D73DD"/>
    <w:rsid w:val="000E1C51"/>
    <w:rsid w:val="000E28AB"/>
    <w:rsid w:val="000E2E3E"/>
    <w:rsid w:val="000E3583"/>
    <w:rsid w:val="000E3AF0"/>
    <w:rsid w:val="000E4E04"/>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07F4"/>
    <w:rsid w:val="00121979"/>
    <w:rsid w:val="00121F1B"/>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12B"/>
    <w:rsid w:val="00167226"/>
    <w:rsid w:val="0016782B"/>
    <w:rsid w:val="0016784D"/>
    <w:rsid w:val="00173256"/>
    <w:rsid w:val="00173B0E"/>
    <w:rsid w:val="00173E03"/>
    <w:rsid w:val="0017512C"/>
    <w:rsid w:val="0017586A"/>
    <w:rsid w:val="00175BA6"/>
    <w:rsid w:val="00176CA7"/>
    <w:rsid w:val="00176F8E"/>
    <w:rsid w:val="001778C5"/>
    <w:rsid w:val="00177E56"/>
    <w:rsid w:val="00177F0A"/>
    <w:rsid w:val="00180DA0"/>
    <w:rsid w:val="0018110A"/>
    <w:rsid w:val="00181EAD"/>
    <w:rsid w:val="00182862"/>
    <w:rsid w:val="00184F57"/>
    <w:rsid w:val="00185544"/>
    <w:rsid w:val="00185617"/>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1E1"/>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735E"/>
    <w:rsid w:val="001D73C8"/>
    <w:rsid w:val="001D7BC6"/>
    <w:rsid w:val="001E129E"/>
    <w:rsid w:val="001E175C"/>
    <w:rsid w:val="001E1B0E"/>
    <w:rsid w:val="001E5A94"/>
    <w:rsid w:val="001F2A2E"/>
    <w:rsid w:val="001F3356"/>
    <w:rsid w:val="001F3C63"/>
    <w:rsid w:val="001F4460"/>
    <w:rsid w:val="001F711A"/>
    <w:rsid w:val="001F75B0"/>
    <w:rsid w:val="00200CE5"/>
    <w:rsid w:val="00200F7C"/>
    <w:rsid w:val="002014DB"/>
    <w:rsid w:val="00201E12"/>
    <w:rsid w:val="002033B5"/>
    <w:rsid w:val="002037B1"/>
    <w:rsid w:val="0020382C"/>
    <w:rsid w:val="0020437A"/>
    <w:rsid w:val="0020454C"/>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5587"/>
    <w:rsid w:val="00245F2B"/>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B0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66A5"/>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2E2F"/>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5F4"/>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6FB2"/>
    <w:rsid w:val="00467EF8"/>
    <w:rsid w:val="00470D14"/>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59C"/>
    <w:rsid w:val="004D7716"/>
    <w:rsid w:val="004E0306"/>
    <w:rsid w:val="004E0572"/>
    <w:rsid w:val="004E1641"/>
    <w:rsid w:val="004E1818"/>
    <w:rsid w:val="004E1990"/>
    <w:rsid w:val="004E25A8"/>
    <w:rsid w:val="004E3930"/>
    <w:rsid w:val="004E3ED9"/>
    <w:rsid w:val="004E5866"/>
    <w:rsid w:val="004E6097"/>
    <w:rsid w:val="004E61EF"/>
    <w:rsid w:val="004E63C6"/>
    <w:rsid w:val="004E6E59"/>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CD1"/>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8E6"/>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289C"/>
    <w:rsid w:val="005836C7"/>
    <w:rsid w:val="0058408E"/>
    <w:rsid w:val="00585374"/>
    <w:rsid w:val="005854CA"/>
    <w:rsid w:val="00585FAB"/>
    <w:rsid w:val="00590B77"/>
    <w:rsid w:val="00590D9A"/>
    <w:rsid w:val="005913A3"/>
    <w:rsid w:val="005940D4"/>
    <w:rsid w:val="005946B9"/>
    <w:rsid w:val="00594A7B"/>
    <w:rsid w:val="0059580E"/>
    <w:rsid w:val="00595D90"/>
    <w:rsid w:val="005960BD"/>
    <w:rsid w:val="00596A6F"/>
    <w:rsid w:val="00596FCE"/>
    <w:rsid w:val="005A11BC"/>
    <w:rsid w:val="005A1525"/>
    <w:rsid w:val="005A1E17"/>
    <w:rsid w:val="005A252B"/>
    <w:rsid w:val="005A2A8F"/>
    <w:rsid w:val="005A3204"/>
    <w:rsid w:val="005A3341"/>
    <w:rsid w:val="005A3C3D"/>
    <w:rsid w:val="005A46EC"/>
    <w:rsid w:val="005A5EAE"/>
    <w:rsid w:val="005A6407"/>
    <w:rsid w:val="005B07EC"/>
    <w:rsid w:val="005B2B11"/>
    <w:rsid w:val="005B32A4"/>
    <w:rsid w:val="005B338D"/>
    <w:rsid w:val="005B3BAF"/>
    <w:rsid w:val="005B4DA3"/>
    <w:rsid w:val="005B5BEE"/>
    <w:rsid w:val="005B77D2"/>
    <w:rsid w:val="005C019B"/>
    <w:rsid w:val="005C1AED"/>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7D5"/>
    <w:rsid w:val="00666AC0"/>
    <w:rsid w:val="006670E0"/>
    <w:rsid w:val="006671B8"/>
    <w:rsid w:val="00667275"/>
    <w:rsid w:val="00667532"/>
    <w:rsid w:val="0066783E"/>
    <w:rsid w:val="00667E53"/>
    <w:rsid w:val="006713AB"/>
    <w:rsid w:val="00672CA5"/>
    <w:rsid w:val="00673711"/>
    <w:rsid w:val="00673F82"/>
    <w:rsid w:val="00674F74"/>
    <w:rsid w:val="0067508F"/>
    <w:rsid w:val="00677576"/>
    <w:rsid w:val="0068051E"/>
    <w:rsid w:val="00680B9D"/>
    <w:rsid w:val="00681F13"/>
    <w:rsid w:val="0068231C"/>
    <w:rsid w:val="00682344"/>
    <w:rsid w:val="00682F28"/>
    <w:rsid w:val="006838D3"/>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5FC"/>
    <w:rsid w:val="00697BD3"/>
    <w:rsid w:val="00697DFA"/>
    <w:rsid w:val="006A16D5"/>
    <w:rsid w:val="006A1772"/>
    <w:rsid w:val="006A1780"/>
    <w:rsid w:val="006A21DD"/>
    <w:rsid w:val="006A26C6"/>
    <w:rsid w:val="006A3B28"/>
    <w:rsid w:val="006A4FEE"/>
    <w:rsid w:val="006A703E"/>
    <w:rsid w:val="006A7BE3"/>
    <w:rsid w:val="006A7D32"/>
    <w:rsid w:val="006B01D1"/>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AD1"/>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381B"/>
    <w:rsid w:val="0070796C"/>
    <w:rsid w:val="00710EBF"/>
    <w:rsid w:val="007110B8"/>
    <w:rsid w:val="0071209F"/>
    <w:rsid w:val="007125A2"/>
    <w:rsid w:val="00713F79"/>
    <w:rsid w:val="007148A8"/>
    <w:rsid w:val="00716AC8"/>
    <w:rsid w:val="00716E54"/>
    <w:rsid w:val="0072033C"/>
    <w:rsid w:val="00720B1B"/>
    <w:rsid w:val="00721062"/>
    <w:rsid w:val="00721E5D"/>
    <w:rsid w:val="007227E4"/>
    <w:rsid w:val="007229D4"/>
    <w:rsid w:val="007230F8"/>
    <w:rsid w:val="007233F4"/>
    <w:rsid w:val="00724044"/>
    <w:rsid w:val="007248D3"/>
    <w:rsid w:val="00725137"/>
    <w:rsid w:val="00725378"/>
    <w:rsid w:val="00727A43"/>
    <w:rsid w:val="00727FF2"/>
    <w:rsid w:val="00730550"/>
    <w:rsid w:val="00731434"/>
    <w:rsid w:val="00731E59"/>
    <w:rsid w:val="007323E0"/>
    <w:rsid w:val="00732911"/>
    <w:rsid w:val="00733721"/>
    <w:rsid w:val="00733DE2"/>
    <w:rsid w:val="007352EA"/>
    <w:rsid w:val="00735B59"/>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6A0F"/>
    <w:rsid w:val="00796F65"/>
    <w:rsid w:val="007A11C2"/>
    <w:rsid w:val="007A18BB"/>
    <w:rsid w:val="007A27DD"/>
    <w:rsid w:val="007A3132"/>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06C3"/>
    <w:rsid w:val="00831758"/>
    <w:rsid w:val="008317D9"/>
    <w:rsid w:val="0083279F"/>
    <w:rsid w:val="008334DB"/>
    <w:rsid w:val="00833B7F"/>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17E8"/>
    <w:rsid w:val="008B2E7C"/>
    <w:rsid w:val="008B45F0"/>
    <w:rsid w:val="008B4A70"/>
    <w:rsid w:val="008B502F"/>
    <w:rsid w:val="008B6DFC"/>
    <w:rsid w:val="008B7227"/>
    <w:rsid w:val="008C04E0"/>
    <w:rsid w:val="008C191C"/>
    <w:rsid w:val="008C1DA4"/>
    <w:rsid w:val="008C29B0"/>
    <w:rsid w:val="008C2CD5"/>
    <w:rsid w:val="008C3618"/>
    <w:rsid w:val="008C43AD"/>
    <w:rsid w:val="008C6118"/>
    <w:rsid w:val="008C6341"/>
    <w:rsid w:val="008C731F"/>
    <w:rsid w:val="008C74D9"/>
    <w:rsid w:val="008D3B2D"/>
    <w:rsid w:val="008D58D9"/>
    <w:rsid w:val="008D5AD4"/>
    <w:rsid w:val="008D6DD5"/>
    <w:rsid w:val="008D6E59"/>
    <w:rsid w:val="008D7155"/>
    <w:rsid w:val="008E0B29"/>
    <w:rsid w:val="008E141A"/>
    <w:rsid w:val="008E1A44"/>
    <w:rsid w:val="008E28E6"/>
    <w:rsid w:val="008E3232"/>
    <w:rsid w:val="008E3674"/>
    <w:rsid w:val="008E3B6C"/>
    <w:rsid w:val="008E562C"/>
    <w:rsid w:val="008E77D4"/>
    <w:rsid w:val="008E7ADD"/>
    <w:rsid w:val="008F091F"/>
    <w:rsid w:val="008F17B2"/>
    <w:rsid w:val="008F22B3"/>
    <w:rsid w:val="008F357B"/>
    <w:rsid w:val="008F44CA"/>
    <w:rsid w:val="008F44FA"/>
    <w:rsid w:val="008F49D3"/>
    <w:rsid w:val="008F6519"/>
    <w:rsid w:val="008F7012"/>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A08"/>
    <w:rsid w:val="00A05D91"/>
    <w:rsid w:val="00A0740B"/>
    <w:rsid w:val="00A0748B"/>
    <w:rsid w:val="00A07ED3"/>
    <w:rsid w:val="00A10CA8"/>
    <w:rsid w:val="00A11042"/>
    <w:rsid w:val="00A12579"/>
    <w:rsid w:val="00A133D8"/>
    <w:rsid w:val="00A15655"/>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8DA"/>
    <w:rsid w:val="00A74C29"/>
    <w:rsid w:val="00A74C62"/>
    <w:rsid w:val="00A75EF9"/>
    <w:rsid w:val="00A77A7A"/>
    <w:rsid w:val="00A8311C"/>
    <w:rsid w:val="00A835D0"/>
    <w:rsid w:val="00A84C5F"/>
    <w:rsid w:val="00A85930"/>
    <w:rsid w:val="00A863F7"/>
    <w:rsid w:val="00A86604"/>
    <w:rsid w:val="00A87519"/>
    <w:rsid w:val="00A9246D"/>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5E4B"/>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AF5A8A"/>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1AE5"/>
    <w:rsid w:val="00B12FE6"/>
    <w:rsid w:val="00B1303F"/>
    <w:rsid w:val="00B1364A"/>
    <w:rsid w:val="00B13859"/>
    <w:rsid w:val="00B14319"/>
    <w:rsid w:val="00B14A06"/>
    <w:rsid w:val="00B158E1"/>
    <w:rsid w:val="00B16715"/>
    <w:rsid w:val="00B16B53"/>
    <w:rsid w:val="00B1768E"/>
    <w:rsid w:val="00B17910"/>
    <w:rsid w:val="00B20F18"/>
    <w:rsid w:val="00B21516"/>
    <w:rsid w:val="00B21A37"/>
    <w:rsid w:val="00B21F62"/>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7286"/>
    <w:rsid w:val="00B476BF"/>
    <w:rsid w:val="00B50234"/>
    <w:rsid w:val="00B51BF4"/>
    <w:rsid w:val="00B52C68"/>
    <w:rsid w:val="00B5372B"/>
    <w:rsid w:val="00B542FE"/>
    <w:rsid w:val="00B55A1B"/>
    <w:rsid w:val="00B561DB"/>
    <w:rsid w:val="00B56DF9"/>
    <w:rsid w:val="00B600BD"/>
    <w:rsid w:val="00B6070C"/>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89E"/>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1EFF"/>
    <w:rsid w:val="00BC2C17"/>
    <w:rsid w:val="00BC3ACD"/>
    <w:rsid w:val="00BC3B20"/>
    <w:rsid w:val="00BC3EE4"/>
    <w:rsid w:val="00BC4952"/>
    <w:rsid w:val="00BC588C"/>
    <w:rsid w:val="00BC6E73"/>
    <w:rsid w:val="00BC74D3"/>
    <w:rsid w:val="00BD0014"/>
    <w:rsid w:val="00BD01D8"/>
    <w:rsid w:val="00BD255F"/>
    <w:rsid w:val="00BD2895"/>
    <w:rsid w:val="00BD4236"/>
    <w:rsid w:val="00BD483B"/>
    <w:rsid w:val="00BD5CD4"/>
    <w:rsid w:val="00BD65D9"/>
    <w:rsid w:val="00BD6DAB"/>
    <w:rsid w:val="00BD6DF3"/>
    <w:rsid w:val="00BD6E09"/>
    <w:rsid w:val="00BD6EF9"/>
    <w:rsid w:val="00BE0ACB"/>
    <w:rsid w:val="00BE14CE"/>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10CE9"/>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1E8E"/>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0E26"/>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438C"/>
    <w:rsid w:val="00D26C3F"/>
    <w:rsid w:val="00D27185"/>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7EB6"/>
    <w:rsid w:val="00D608C0"/>
    <w:rsid w:val="00D60D6D"/>
    <w:rsid w:val="00D63086"/>
    <w:rsid w:val="00D66D8B"/>
    <w:rsid w:val="00D70849"/>
    <w:rsid w:val="00D72297"/>
    <w:rsid w:val="00D72A1C"/>
    <w:rsid w:val="00D7308F"/>
    <w:rsid w:val="00D7313E"/>
    <w:rsid w:val="00D73580"/>
    <w:rsid w:val="00D73802"/>
    <w:rsid w:val="00D73C2C"/>
    <w:rsid w:val="00D73D52"/>
    <w:rsid w:val="00D745E7"/>
    <w:rsid w:val="00D774ED"/>
    <w:rsid w:val="00D777C3"/>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87A1B"/>
    <w:rsid w:val="00D9074A"/>
    <w:rsid w:val="00D9099E"/>
    <w:rsid w:val="00D9193A"/>
    <w:rsid w:val="00D923B2"/>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F62"/>
    <w:rsid w:val="00DB21E7"/>
    <w:rsid w:val="00DB2E03"/>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4758"/>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5612"/>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25AC"/>
    <w:rsid w:val="00E93685"/>
    <w:rsid w:val="00E93B65"/>
    <w:rsid w:val="00E93C8C"/>
    <w:rsid w:val="00E95111"/>
    <w:rsid w:val="00E95FDF"/>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2756"/>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3EE"/>
    <w:rsid w:val="00FB18F6"/>
    <w:rsid w:val="00FB2A52"/>
    <w:rsid w:val="00FB2B81"/>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18B3"/>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B9"/>
    <w:rsid w:val="00FE57DE"/>
    <w:rsid w:val="00FE7A68"/>
    <w:rsid w:val="00FF0231"/>
    <w:rsid w:val="00FF1C9B"/>
    <w:rsid w:val="00FF1D49"/>
    <w:rsid w:val="00FF203B"/>
    <w:rsid w:val="00FF2562"/>
    <w:rsid w:val="00FF3A41"/>
    <w:rsid w:val="00FF3E5B"/>
    <w:rsid w:val="00FF57E4"/>
    <w:rsid w:val="00FF78E5"/>
    <w:rsid w:val="019124D4"/>
    <w:rsid w:val="019734A3"/>
    <w:rsid w:val="019B3110"/>
    <w:rsid w:val="01A10636"/>
    <w:rsid w:val="01AF3D99"/>
    <w:rsid w:val="01BE5507"/>
    <w:rsid w:val="020D6D6E"/>
    <w:rsid w:val="021F775D"/>
    <w:rsid w:val="02306473"/>
    <w:rsid w:val="023A697B"/>
    <w:rsid w:val="02511F9D"/>
    <w:rsid w:val="029307AF"/>
    <w:rsid w:val="02D66F52"/>
    <w:rsid w:val="03A314B8"/>
    <w:rsid w:val="03C24BB2"/>
    <w:rsid w:val="03D82B98"/>
    <w:rsid w:val="03F83E8B"/>
    <w:rsid w:val="04015A37"/>
    <w:rsid w:val="043A643E"/>
    <w:rsid w:val="047070F2"/>
    <w:rsid w:val="04741CC0"/>
    <w:rsid w:val="04772C89"/>
    <w:rsid w:val="04C255E7"/>
    <w:rsid w:val="057D25B8"/>
    <w:rsid w:val="05BA6F50"/>
    <w:rsid w:val="05BF56A4"/>
    <w:rsid w:val="05C56868"/>
    <w:rsid w:val="05C81483"/>
    <w:rsid w:val="05CA5D16"/>
    <w:rsid w:val="06F76485"/>
    <w:rsid w:val="07412078"/>
    <w:rsid w:val="075449B1"/>
    <w:rsid w:val="07AF0B18"/>
    <w:rsid w:val="07B54879"/>
    <w:rsid w:val="07B72767"/>
    <w:rsid w:val="07F4019A"/>
    <w:rsid w:val="08001CD3"/>
    <w:rsid w:val="08077E72"/>
    <w:rsid w:val="08154506"/>
    <w:rsid w:val="083F6B7A"/>
    <w:rsid w:val="086D75DF"/>
    <w:rsid w:val="08866E68"/>
    <w:rsid w:val="08882DD0"/>
    <w:rsid w:val="089126EB"/>
    <w:rsid w:val="08BA659C"/>
    <w:rsid w:val="0900597A"/>
    <w:rsid w:val="092313A0"/>
    <w:rsid w:val="094A7389"/>
    <w:rsid w:val="09521686"/>
    <w:rsid w:val="097710DF"/>
    <w:rsid w:val="09CC2AAC"/>
    <w:rsid w:val="09D122E9"/>
    <w:rsid w:val="09D969A1"/>
    <w:rsid w:val="09F02705"/>
    <w:rsid w:val="0A0031F0"/>
    <w:rsid w:val="0A2E6605"/>
    <w:rsid w:val="0A4221F8"/>
    <w:rsid w:val="0A4B3462"/>
    <w:rsid w:val="0A652D3E"/>
    <w:rsid w:val="0A747818"/>
    <w:rsid w:val="0AB572BF"/>
    <w:rsid w:val="0B210227"/>
    <w:rsid w:val="0B326F2A"/>
    <w:rsid w:val="0B3B26C1"/>
    <w:rsid w:val="0B795CED"/>
    <w:rsid w:val="0BD2493E"/>
    <w:rsid w:val="0BDC25DE"/>
    <w:rsid w:val="0BFC1BFF"/>
    <w:rsid w:val="0C09462A"/>
    <w:rsid w:val="0C1E2888"/>
    <w:rsid w:val="0C3E149E"/>
    <w:rsid w:val="0C4B7B32"/>
    <w:rsid w:val="0C553FF1"/>
    <w:rsid w:val="0C92213C"/>
    <w:rsid w:val="0C9D0B86"/>
    <w:rsid w:val="0CA2325F"/>
    <w:rsid w:val="0CAB0FD8"/>
    <w:rsid w:val="0CD42CF6"/>
    <w:rsid w:val="0CF12DB5"/>
    <w:rsid w:val="0CF8121B"/>
    <w:rsid w:val="0D047EFB"/>
    <w:rsid w:val="0D1C2E0E"/>
    <w:rsid w:val="0D84032B"/>
    <w:rsid w:val="0DB64B3E"/>
    <w:rsid w:val="0DBE2178"/>
    <w:rsid w:val="0E6971B2"/>
    <w:rsid w:val="0EE93803"/>
    <w:rsid w:val="0EEE5BCF"/>
    <w:rsid w:val="0EEF779B"/>
    <w:rsid w:val="0EFC0EBB"/>
    <w:rsid w:val="0F097D39"/>
    <w:rsid w:val="0F0E52AF"/>
    <w:rsid w:val="0F10333E"/>
    <w:rsid w:val="0F2A74C4"/>
    <w:rsid w:val="0F661207"/>
    <w:rsid w:val="0F845524"/>
    <w:rsid w:val="0F892649"/>
    <w:rsid w:val="0FB077A3"/>
    <w:rsid w:val="0FC3455A"/>
    <w:rsid w:val="10440493"/>
    <w:rsid w:val="10552BC1"/>
    <w:rsid w:val="10A11BCB"/>
    <w:rsid w:val="10A27F31"/>
    <w:rsid w:val="1129598E"/>
    <w:rsid w:val="118C3B8C"/>
    <w:rsid w:val="118F2607"/>
    <w:rsid w:val="11927058"/>
    <w:rsid w:val="119F0F1F"/>
    <w:rsid w:val="120A68BD"/>
    <w:rsid w:val="1279397F"/>
    <w:rsid w:val="12940E95"/>
    <w:rsid w:val="12AC6403"/>
    <w:rsid w:val="12F03F7A"/>
    <w:rsid w:val="133A28C5"/>
    <w:rsid w:val="135A33CC"/>
    <w:rsid w:val="13674FB0"/>
    <w:rsid w:val="13AF4F03"/>
    <w:rsid w:val="13BD604B"/>
    <w:rsid w:val="14053A72"/>
    <w:rsid w:val="14736E66"/>
    <w:rsid w:val="147F458F"/>
    <w:rsid w:val="14BB7DFE"/>
    <w:rsid w:val="14BD015C"/>
    <w:rsid w:val="15311B5C"/>
    <w:rsid w:val="1534169A"/>
    <w:rsid w:val="153C3231"/>
    <w:rsid w:val="154135C3"/>
    <w:rsid w:val="15562464"/>
    <w:rsid w:val="155E1D4C"/>
    <w:rsid w:val="15C03E03"/>
    <w:rsid w:val="15C80202"/>
    <w:rsid w:val="162542B9"/>
    <w:rsid w:val="162A25EB"/>
    <w:rsid w:val="1672275E"/>
    <w:rsid w:val="16A53511"/>
    <w:rsid w:val="16AD7B73"/>
    <w:rsid w:val="16B66BFB"/>
    <w:rsid w:val="16D95A69"/>
    <w:rsid w:val="16DD3857"/>
    <w:rsid w:val="16FD2A55"/>
    <w:rsid w:val="17067C1A"/>
    <w:rsid w:val="17366761"/>
    <w:rsid w:val="17396B1E"/>
    <w:rsid w:val="176A7B37"/>
    <w:rsid w:val="176D4946"/>
    <w:rsid w:val="177C01F0"/>
    <w:rsid w:val="177E5FB4"/>
    <w:rsid w:val="1780327C"/>
    <w:rsid w:val="17CE6630"/>
    <w:rsid w:val="181B4AC2"/>
    <w:rsid w:val="18221518"/>
    <w:rsid w:val="185B7E07"/>
    <w:rsid w:val="1879346D"/>
    <w:rsid w:val="18C53EA4"/>
    <w:rsid w:val="18E35B95"/>
    <w:rsid w:val="19616ABA"/>
    <w:rsid w:val="19B279F0"/>
    <w:rsid w:val="19FB0097"/>
    <w:rsid w:val="1A2C313C"/>
    <w:rsid w:val="1A3859B0"/>
    <w:rsid w:val="1A5611B1"/>
    <w:rsid w:val="1A966A87"/>
    <w:rsid w:val="1A9865F5"/>
    <w:rsid w:val="1AAC563D"/>
    <w:rsid w:val="1AFF0AFE"/>
    <w:rsid w:val="1B0818E3"/>
    <w:rsid w:val="1B4F19F8"/>
    <w:rsid w:val="1B521E0B"/>
    <w:rsid w:val="1BD96DDB"/>
    <w:rsid w:val="1BF100A7"/>
    <w:rsid w:val="1C3D627F"/>
    <w:rsid w:val="1C62772B"/>
    <w:rsid w:val="1C7D6151"/>
    <w:rsid w:val="1C864BB2"/>
    <w:rsid w:val="1CA259C4"/>
    <w:rsid w:val="1CE0667D"/>
    <w:rsid w:val="1D0143F7"/>
    <w:rsid w:val="1D074818"/>
    <w:rsid w:val="1D693522"/>
    <w:rsid w:val="1D7276BB"/>
    <w:rsid w:val="1D9C032E"/>
    <w:rsid w:val="1E734D22"/>
    <w:rsid w:val="1ECC44FA"/>
    <w:rsid w:val="1ED63ACA"/>
    <w:rsid w:val="1EE14925"/>
    <w:rsid w:val="1EE92EE2"/>
    <w:rsid w:val="1F063325"/>
    <w:rsid w:val="1FBC5DF5"/>
    <w:rsid w:val="1FD6679D"/>
    <w:rsid w:val="202C22D3"/>
    <w:rsid w:val="20B701A9"/>
    <w:rsid w:val="20BB599E"/>
    <w:rsid w:val="20C3623F"/>
    <w:rsid w:val="20D653EB"/>
    <w:rsid w:val="20DA5ACF"/>
    <w:rsid w:val="20DC7616"/>
    <w:rsid w:val="20F11B53"/>
    <w:rsid w:val="21116E3A"/>
    <w:rsid w:val="21781212"/>
    <w:rsid w:val="21A1339E"/>
    <w:rsid w:val="21A82A3E"/>
    <w:rsid w:val="21B83F86"/>
    <w:rsid w:val="21BA0A33"/>
    <w:rsid w:val="21D00C81"/>
    <w:rsid w:val="21EC30C5"/>
    <w:rsid w:val="21FD1E84"/>
    <w:rsid w:val="22116E99"/>
    <w:rsid w:val="221178A8"/>
    <w:rsid w:val="221213CF"/>
    <w:rsid w:val="221E7C3E"/>
    <w:rsid w:val="22327A92"/>
    <w:rsid w:val="223E1826"/>
    <w:rsid w:val="22493DB8"/>
    <w:rsid w:val="226B1675"/>
    <w:rsid w:val="22C32593"/>
    <w:rsid w:val="22D01BEC"/>
    <w:rsid w:val="22EB3A50"/>
    <w:rsid w:val="231D53A2"/>
    <w:rsid w:val="232E2103"/>
    <w:rsid w:val="236D5383"/>
    <w:rsid w:val="23955A8A"/>
    <w:rsid w:val="23B7504C"/>
    <w:rsid w:val="23CC268B"/>
    <w:rsid w:val="23DB43CC"/>
    <w:rsid w:val="23DC5161"/>
    <w:rsid w:val="23EF18EB"/>
    <w:rsid w:val="240202FA"/>
    <w:rsid w:val="24050386"/>
    <w:rsid w:val="24253506"/>
    <w:rsid w:val="243E6805"/>
    <w:rsid w:val="24474967"/>
    <w:rsid w:val="24571307"/>
    <w:rsid w:val="24580AED"/>
    <w:rsid w:val="24666ACA"/>
    <w:rsid w:val="24AE43AB"/>
    <w:rsid w:val="24DA0881"/>
    <w:rsid w:val="24E771FF"/>
    <w:rsid w:val="25033435"/>
    <w:rsid w:val="25064314"/>
    <w:rsid w:val="25110A2A"/>
    <w:rsid w:val="2540315A"/>
    <w:rsid w:val="2546484F"/>
    <w:rsid w:val="256C0944"/>
    <w:rsid w:val="256C0CC0"/>
    <w:rsid w:val="258E7D9D"/>
    <w:rsid w:val="25954E5A"/>
    <w:rsid w:val="25C80BDA"/>
    <w:rsid w:val="25E66169"/>
    <w:rsid w:val="25F25093"/>
    <w:rsid w:val="260A6DE8"/>
    <w:rsid w:val="260E5DC8"/>
    <w:rsid w:val="26373D14"/>
    <w:rsid w:val="26446DE3"/>
    <w:rsid w:val="266A6A9B"/>
    <w:rsid w:val="269669E7"/>
    <w:rsid w:val="26D7699F"/>
    <w:rsid w:val="272A4734"/>
    <w:rsid w:val="274B109B"/>
    <w:rsid w:val="27566AB1"/>
    <w:rsid w:val="276A14F0"/>
    <w:rsid w:val="27A879E0"/>
    <w:rsid w:val="27EB5A32"/>
    <w:rsid w:val="288941F3"/>
    <w:rsid w:val="28AF38DB"/>
    <w:rsid w:val="28B0186E"/>
    <w:rsid w:val="28B75ED7"/>
    <w:rsid w:val="29642062"/>
    <w:rsid w:val="299B1047"/>
    <w:rsid w:val="29FD0937"/>
    <w:rsid w:val="29FD42FA"/>
    <w:rsid w:val="2A086D9F"/>
    <w:rsid w:val="2A224043"/>
    <w:rsid w:val="2A3C3680"/>
    <w:rsid w:val="2A7E4EE3"/>
    <w:rsid w:val="2AAC66A7"/>
    <w:rsid w:val="2AF763E2"/>
    <w:rsid w:val="2B183929"/>
    <w:rsid w:val="2B3175E0"/>
    <w:rsid w:val="2B774624"/>
    <w:rsid w:val="2BDD0F76"/>
    <w:rsid w:val="2C7A72BE"/>
    <w:rsid w:val="2C9A7D75"/>
    <w:rsid w:val="2CBB5499"/>
    <w:rsid w:val="2CCB564D"/>
    <w:rsid w:val="2D0E224E"/>
    <w:rsid w:val="2D1155B6"/>
    <w:rsid w:val="2D1962EB"/>
    <w:rsid w:val="2D2D1125"/>
    <w:rsid w:val="2DC67BF5"/>
    <w:rsid w:val="2DEE1401"/>
    <w:rsid w:val="2E2E76FB"/>
    <w:rsid w:val="2E6B62A1"/>
    <w:rsid w:val="2E9976CE"/>
    <w:rsid w:val="2EE71BEF"/>
    <w:rsid w:val="2EE84004"/>
    <w:rsid w:val="2F154AE0"/>
    <w:rsid w:val="2F3D2903"/>
    <w:rsid w:val="2F401D3C"/>
    <w:rsid w:val="2F5B24E1"/>
    <w:rsid w:val="2F7D400B"/>
    <w:rsid w:val="2FA65277"/>
    <w:rsid w:val="2FA95C88"/>
    <w:rsid w:val="3041370F"/>
    <w:rsid w:val="3043621C"/>
    <w:rsid w:val="312B50A3"/>
    <w:rsid w:val="314D7867"/>
    <w:rsid w:val="31BB0900"/>
    <w:rsid w:val="32194DD1"/>
    <w:rsid w:val="323751F2"/>
    <w:rsid w:val="32453A27"/>
    <w:rsid w:val="3263064A"/>
    <w:rsid w:val="32700042"/>
    <w:rsid w:val="32A43132"/>
    <w:rsid w:val="32AC0C06"/>
    <w:rsid w:val="32D929F6"/>
    <w:rsid w:val="32D95BE5"/>
    <w:rsid w:val="32E23A56"/>
    <w:rsid w:val="32E31C48"/>
    <w:rsid w:val="32FC70BF"/>
    <w:rsid w:val="330C43F0"/>
    <w:rsid w:val="33344EF5"/>
    <w:rsid w:val="337D5D90"/>
    <w:rsid w:val="33DB4668"/>
    <w:rsid w:val="34002953"/>
    <w:rsid w:val="340B3536"/>
    <w:rsid w:val="344512CD"/>
    <w:rsid w:val="34983058"/>
    <w:rsid w:val="34C34318"/>
    <w:rsid w:val="34D477B1"/>
    <w:rsid w:val="34F97F1C"/>
    <w:rsid w:val="35196C1C"/>
    <w:rsid w:val="352A5E4A"/>
    <w:rsid w:val="35300C6E"/>
    <w:rsid w:val="35327D21"/>
    <w:rsid w:val="3537750C"/>
    <w:rsid w:val="3537798C"/>
    <w:rsid w:val="35402C6C"/>
    <w:rsid w:val="35494E1D"/>
    <w:rsid w:val="35527ED3"/>
    <w:rsid w:val="35570D9D"/>
    <w:rsid w:val="3569033D"/>
    <w:rsid w:val="35A609FE"/>
    <w:rsid w:val="35C13FC9"/>
    <w:rsid w:val="35D920A3"/>
    <w:rsid w:val="35F44AE6"/>
    <w:rsid w:val="363F53A5"/>
    <w:rsid w:val="364257B6"/>
    <w:rsid w:val="36477DE5"/>
    <w:rsid w:val="36A37B0D"/>
    <w:rsid w:val="36BC4CD8"/>
    <w:rsid w:val="37067095"/>
    <w:rsid w:val="373E7BF6"/>
    <w:rsid w:val="375065B1"/>
    <w:rsid w:val="376E1DDC"/>
    <w:rsid w:val="378F3CD4"/>
    <w:rsid w:val="379020F6"/>
    <w:rsid w:val="37AC007F"/>
    <w:rsid w:val="37EA5922"/>
    <w:rsid w:val="38276B93"/>
    <w:rsid w:val="38287646"/>
    <w:rsid w:val="38514D02"/>
    <w:rsid w:val="386E5B5E"/>
    <w:rsid w:val="38AC3431"/>
    <w:rsid w:val="392F2E16"/>
    <w:rsid w:val="39327F3F"/>
    <w:rsid w:val="393303C2"/>
    <w:rsid w:val="396F14C3"/>
    <w:rsid w:val="39A369DF"/>
    <w:rsid w:val="39E00529"/>
    <w:rsid w:val="3A0B64A7"/>
    <w:rsid w:val="3A1B5204"/>
    <w:rsid w:val="3A574DDA"/>
    <w:rsid w:val="3A6410A2"/>
    <w:rsid w:val="3A721188"/>
    <w:rsid w:val="3A9950CE"/>
    <w:rsid w:val="3AD3075A"/>
    <w:rsid w:val="3AD624E6"/>
    <w:rsid w:val="3AE175D5"/>
    <w:rsid w:val="3AF74C02"/>
    <w:rsid w:val="3AFC60C8"/>
    <w:rsid w:val="3B2937CC"/>
    <w:rsid w:val="3B581673"/>
    <w:rsid w:val="3B5F2ABB"/>
    <w:rsid w:val="3BA910C1"/>
    <w:rsid w:val="3BAE6984"/>
    <w:rsid w:val="3C0059A5"/>
    <w:rsid w:val="3C134E78"/>
    <w:rsid w:val="3C4E1EFB"/>
    <w:rsid w:val="3C5979E7"/>
    <w:rsid w:val="3C7E77FF"/>
    <w:rsid w:val="3CCD368D"/>
    <w:rsid w:val="3CE76CF5"/>
    <w:rsid w:val="3CEB46DA"/>
    <w:rsid w:val="3CEC783E"/>
    <w:rsid w:val="3D095684"/>
    <w:rsid w:val="3D426E38"/>
    <w:rsid w:val="3D694B80"/>
    <w:rsid w:val="3D8C64F7"/>
    <w:rsid w:val="3D9634F9"/>
    <w:rsid w:val="3DC92CFC"/>
    <w:rsid w:val="3DD57CCC"/>
    <w:rsid w:val="3DF6345D"/>
    <w:rsid w:val="3E1B3EDE"/>
    <w:rsid w:val="3E390E93"/>
    <w:rsid w:val="3E457E83"/>
    <w:rsid w:val="3E4D4F28"/>
    <w:rsid w:val="3E75529B"/>
    <w:rsid w:val="3E971219"/>
    <w:rsid w:val="3EA70B08"/>
    <w:rsid w:val="3EE13701"/>
    <w:rsid w:val="3F1A4BB3"/>
    <w:rsid w:val="3F1D04E2"/>
    <w:rsid w:val="3FA550A3"/>
    <w:rsid w:val="3FE7793D"/>
    <w:rsid w:val="3FE850DE"/>
    <w:rsid w:val="3FFF4F2D"/>
    <w:rsid w:val="40192BA6"/>
    <w:rsid w:val="401E4934"/>
    <w:rsid w:val="405F4B20"/>
    <w:rsid w:val="40644BD1"/>
    <w:rsid w:val="40766BEC"/>
    <w:rsid w:val="40803F49"/>
    <w:rsid w:val="40B17474"/>
    <w:rsid w:val="40F317EE"/>
    <w:rsid w:val="41324EF5"/>
    <w:rsid w:val="41845C68"/>
    <w:rsid w:val="42550A18"/>
    <w:rsid w:val="429D496A"/>
    <w:rsid w:val="42F473A1"/>
    <w:rsid w:val="42FF6E68"/>
    <w:rsid w:val="43115872"/>
    <w:rsid w:val="438C770A"/>
    <w:rsid w:val="43C90B2A"/>
    <w:rsid w:val="43D703C3"/>
    <w:rsid w:val="43FA75B3"/>
    <w:rsid w:val="441E62C0"/>
    <w:rsid w:val="44284CD4"/>
    <w:rsid w:val="44550EB2"/>
    <w:rsid w:val="445F620B"/>
    <w:rsid w:val="44610AAA"/>
    <w:rsid w:val="44700239"/>
    <w:rsid w:val="44916CFC"/>
    <w:rsid w:val="44A47A1B"/>
    <w:rsid w:val="44A63DE0"/>
    <w:rsid w:val="44D67F2D"/>
    <w:rsid w:val="44D96091"/>
    <w:rsid w:val="44FD3640"/>
    <w:rsid w:val="451614E4"/>
    <w:rsid w:val="4518310C"/>
    <w:rsid w:val="452133E8"/>
    <w:rsid w:val="45325D14"/>
    <w:rsid w:val="45811C7C"/>
    <w:rsid w:val="45C02060"/>
    <w:rsid w:val="468B3EFB"/>
    <w:rsid w:val="46E54774"/>
    <w:rsid w:val="470A6193"/>
    <w:rsid w:val="47154616"/>
    <w:rsid w:val="47385210"/>
    <w:rsid w:val="475573AE"/>
    <w:rsid w:val="477F63F9"/>
    <w:rsid w:val="478A6502"/>
    <w:rsid w:val="478F20E2"/>
    <w:rsid w:val="47DC4F5C"/>
    <w:rsid w:val="484156F8"/>
    <w:rsid w:val="489D4941"/>
    <w:rsid w:val="48B40671"/>
    <w:rsid w:val="4908335B"/>
    <w:rsid w:val="492413B5"/>
    <w:rsid w:val="495A16A7"/>
    <w:rsid w:val="498A0164"/>
    <w:rsid w:val="499B5738"/>
    <w:rsid w:val="499F244D"/>
    <w:rsid w:val="49D97C7A"/>
    <w:rsid w:val="49DE4B20"/>
    <w:rsid w:val="49F42734"/>
    <w:rsid w:val="4A973F3F"/>
    <w:rsid w:val="4AF96BC7"/>
    <w:rsid w:val="4B143704"/>
    <w:rsid w:val="4B250671"/>
    <w:rsid w:val="4B4771A0"/>
    <w:rsid w:val="4B862A85"/>
    <w:rsid w:val="4C150F5C"/>
    <w:rsid w:val="4C367A94"/>
    <w:rsid w:val="4C43798F"/>
    <w:rsid w:val="4C8524E4"/>
    <w:rsid w:val="4C961902"/>
    <w:rsid w:val="4CEF36E2"/>
    <w:rsid w:val="4CEF4DC5"/>
    <w:rsid w:val="4CFB1BE6"/>
    <w:rsid w:val="4D394CCA"/>
    <w:rsid w:val="4D66389F"/>
    <w:rsid w:val="4E123F91"/>
    <w:rsid w:val="4E257655"/>
    <w:rsid w:val="4E4B7C1F"/>
    <w:rsid w:val="4EB55F2B"/>
    <w:rsid w:val="4F1F6229"/>
    <w:rsid w:val="4F217AC1"/>
    <w:rsid w:val="4F372380"/>
    <w:rsid w:val="4F372FFB"/>
    <w:rsid w:val="4F996E00"/>
    <w:rsid w:val="4FF24505"/>
    <w:rsid w:val="4FF75F45"/>
    <w:rsid w:val="502228D9"/>
    <w:rsid w:val="503A4806"/>
    <w:rsid w:val="50C0676D"/>
    <w:rsid w:val="511259DE"/>
    <w:rsid w:val="520E1C7A"/>
    <w:rsid w:val="52395ECD"/>
    <w:rsid w:val="528110BD"/>
    <w:rsid w:val="52811256"/>
    <w:rsid w:val="528E12DF"/>
    <w:rsid w:val="52C10D75"/>
    <w:rsid w:val="52D47512"/>
    <w:rsid w:val="52DE76E8"/>
    <w:rsid w:val="52E52EC9"/>
    <w:rsid w:val="530952D1"/>
    <w:rsid w:val="530A0AF5"/>
    <w:rsid w:val="531232E9"/>
    <w:rsid w:val="536242DB"/>
    <w:rsid w:val="538C11BC"/>
    <w:rsid w:val="53A14B55"/>
    <w:rsid w:val="53BB38AE"/>
    <w:rsid w:val="53C27FF8"/>
    <w:rsid w:val="53D7059A"/>
    <w:rsid w:val="54040192"/>
    <w:rsid w:val="548D33A8"/>
    <w:rsid w:val="549E1A80"/>
    <w:rsid w:val="54C658F4"/>
    <w:rsid w:val="550C4BD7"/>
    <w:rsid w:val="554C1D56"/>
    <w:rsid w:val="55572986"/>
    <w:rsid w:val="559C46EB"/>
    <w:rsid w:val="55C3494F"/>
    <w:rsid w:val="55C868FF"/>
    <w:rsid w:val="55F54236"/>
    <w:rsid w:val="55F612B6"/>
    <w:rsid w:val="565340FA"/>
    <w:rsid w:val="56587DD5"/>
    <w:rsid w:val="56615D9D"/>
    <w:rsid w:val="56B15CB8"/>
    <w:rsid w:val="56DB6513"/>
    <w:rsid w:val="571365CE"/>
    <w:rsid w:val="57578D11"/>
    <w:rsid w:val="576523A6"/>
    <w:rsid w:val="57A05BDB"/>
    <w:rsid w:val="57C67A76"/>
    <w:rsid w:val="57CF71D5"/>
    <w:rsid w:val="5817655F"/>
    <w:rsid w:val="58490EA9"/>
    <w:rsid w:val="585112F9"/>
    <w:rsid w:val="586D4C3E"/>
    <w:rsid w:val="586F10F0"/>
    <w:rsid w:val="58960AD6"/>
    <w:rsid w:val="589B112F"/>
    <w:rsid w:val="58B0586A"/>
    <w:rsid w:val="58D0595F"/>
    <w:rsid w:val="59704A6A"/>
    <w:rsid w:val="59752D0C"/>
    <w:rsid w:val="597A300A"/>
    <w:rsid w:val="59D37772"/>
    <w:rsid w:val="5A2F2CC8"/>
    <w:rsid w:val="5A58141E"/>
    <w:rsid w:val="5A631F6B"/>
    <w:rsid w:val="5AD004B8"/>
    <w:rsid w:val="5ADC28EA"/>
    <w:rsid w:val="5B030AC7"/>
    <w:rsid w:val="5B4B60A5"/>
    <w:rsid w:val="5B57516A"/>
    <w:rsid w:val="5B5A3994"/>
    <w:rsid w:val="5BA2337B"/>
    <w:rsid w:val="5BD459D3"/>
    <w:rsid w:val="5BDC6104"/>
    <w:rsid w:val="5C0675E2"/>
    <w:rsid w:val="5C10702D"/>
    <w:rsid w:val="5C152601"/>
    <w:rsid w:val="5C8A1B2F"/>
    <w:rsid w:val="5CCB1ED0"/>
    <w:rsid w:val="5D5016A1"/>
    <w:rsid w:val="5D5511C3"/>
    <w:rsid w:val="5E1F055E"/>
    <w:rsid w:val="5E3416BE"/>
    <w:rsid w:val="5E344226"/>
    <w:rsid w:val="5E7E799C"/>
    <w:rsid w:val="5EDF5A84"/>
    <w:rsid w:val="5F0C7A37"/>
    <w:rsid w:val="5F7969CB"/>
    <w:rsid w:val="5FCE4219"/>
    <w:rsid w:val="5FDD3B55"/>
    <w:rsid w:val="5FE72241"/>
    <w:rsid w:val="603428DC"/>
    <w:rsid w:val="606007BB"/>
    <w:rsid w:val="60681AA9"/>
    <w:rsid w:val="607308D7"/>
    <w:rsid w:val="60AC7F66"/>
    <w:rsid w:val="60BB607C"/>
    <w:rsid w:val="616306AB"/>
    <w:rsid w:val="61774699"/>
    <w:rsid w:val="61BF10D9"/>
    <w:rsid w:val="621A26AF"/>
    <w:rsid w:val="623329BD"/>
    <w:rsid w:val="625E0AE0"/>
    <w:rsid w:val="625E3163"/>
    <w:rsid w:val="629F118F"/>
    <w:rsid w:val="62AC22DC"/>
    <w:rsid w:val="630837A6"/>
    <w:rsid w:val="631A3566"/>
    <w:rsid w:val="635725D8"/>
    <w:rsid w:val="63DD4873"/>
    <w:rsid w:val="63FB494D"/>
    <w:rsid w:val="644C75A1"/>
    <w:rsid w:val="64555803"/>
    <w:rsid w:val="647740D2"/>
    <w:rsid w:val="64811AF4"/>
    <w:rsid w:val="64904671"/>
    <w:rsid w:val="64DE0F2F"/>
    <w:rsid w:val="64E45EF7"/>
    <w:rsid w:val="64E978B3"/>
    <w:rsid w:val="64F27D9C"/>
    <w:rsid w:val="65281004"/>
    <w:rsid w:val="655C6378"/>
    <w:rsid w:val="65762A55"/>
    <w:rsid w:val="65AC2326"/>
    <w:rsid w:val="65B8734C"/>
    <w:rsid w:val="65D85788"/>
    <w:rsid w:val="65E413CF"/>
    <w:rsid w:val="65F33854"/>
    <w:rsid w:val="65FE1C05"/>
    <w:rsid w:val="6691014E"/>
    <w:rsid w:val="674F66F5"/>
    <w:rsid w:val="677435B2"/>
    <w:rsid w:val="678278E7"/>
    <w:rsid w:val="678371C8"/>
    <w:rsid w:val="67DB61E6"/>
    <w:rsid w:val="67E22141"/>
    <w:rsid w:val="67EF75F1"/>
    <w:rsid w:val="681B5393"/>
    <w:rsid w:val="682077C4"/>
    <w:rsid w:val="688558EE"/>
    <w:rsid w:val="68D93BD0"/>
    <w:rsid w:val="69124F16"/>
    <w:rsid w:val="693F6C67"/>
    <w:rsid w:val="69423F0A"/>
    <w:rsid w:val="694E26F9"/>
    <w:rsid w:val="69646CC6"/>
    <w:rsid w:val="698C2EF5"/>
    <w:rsid w:val="69CD5C14"/>
    <w:rsid w:val="69CF0D33"/>
    <w:rsid w:val="69D528AF"/>
    <w:rsid w:val="69EC5ECF"/>
    <w:rsid w:val="6A0130DC"/>
    <w:rsid w:val="6A097E59"/>
    <w:rsid w:val="6A3A6E61"/>
    <w:rsid w:val="6A590AB4"/>
    <w:rsid w:val="6A9453E7"/>
    <w:rsid w:val="6AE82164"/>
    <w:rsid w:val="6B5C21A5"/>
    <w:rsid w:val="6B6CB609"/>
    <w:rsid w:val="6B6E1BF9"/>
    <w:rsid w:val="6B9946B3"/>
    <w:rsid w:val="6BA95296"/>
    <w:rsid w:val="6BBA453C"/>
    <w:rsid w:val="6BC229B5"/>
    <w:rsid w:val="6BD1FD89"/>
    <w:rsid w:val="6BFF57B8"/>
    <w:rsid w:val="6C3D5748"/>
    <w:rsid w:val="6C5A1C03"/>
    <w:rsid w:val="6C7007C7"/>
    <w:rsid w:val="6CA85221"/>
    <w:rsid w:val="6CB310F7"/>
    <w:rsid w:val="6D71007A"/>
    <w:rsid w:val="6DA73C62"/>
    <w:rsid w:val="6DE44150"/>
    <w:rsid w:val="6DE76850"/>
    <w:rsid w:val="6E1943AA"/>
    <w:rsid w:val="6E7E1078"/>
    <w:rsid w:val="6E9788C1"/>
    <w:rsid w:val="6EAE3E36"/>
    <w:rsid w:val="6EC673B6"/>
    <w:rsid w:val="6EDA4B13"/>
    <w:rsid w:val="6F17018B"/>
    <w:rsid w:val="6F371753"/>
    <w:rsid w:val="6F600073"/>
    <w:rsid w:val="6F9F4FB3"/>
    <w:rsid w:val="6FAA37EA"/>
    <w:rsid w:val="6FB20BD4"/>
    <w:rsid w:val="6FBA59BE"/>
    <w:rsid w:val="70117E53"/>
    <w:rsid w:val="70296B3E"/>
    <w:rsid w:val="70611204"/>
    <w:rsid w:val="708E64CF"/>
    <w:rsid w:val="70DC2DFF"/>
    <w:rsid w:val="70E76875"/>
    <w:rsid w:val="710A058A"/>
    <w:rsid w:val="714D4ACF"/>
    <w:rsid w:val="7160098E"/>
    <w:rsid w:val="71B3699C"/>
    <w:rsid w:val="71E0451F"/>
    <w:rsid w:val="71F3159A"/>
    <w:rsid w:val="722E345D"/>
    <w:rsid w:val="724920B7"/>
    <w:rsid w:val="727712D0"/>
    <w:rsid w:val="72B41CAA"/>
    <w:rsid w:val="72C60EC5"/>
    <w:rsid w:val="72FF104B"/>
    <w:rsid w:val="73423AE4"/>
    <w:rsid w:val="736877BA"/>
    <w:rsid w:val="73822061"/>
    <w:rsid w:val="73BE5ED0"/>
    <w:rsid w:val="73EE1C01"/>
    <w:rsid w:val="74AC6FC2"/>
    <w:rsid w:val="74AC7D5E"/>
    <w:rsid w:val="74FA2C30"/>
    <w:rsid w:val="751C68D2"/>
    <w:rsid w:val="75406535"/>
    <w:rsid w:val="754D5C4B"/>
    <w:rsid w:val="761F0029"/>
    <w:rsid w:val="76756D7E"/>
    <w:rsid w:val="76B81EE1"/>
    <w:rsid w:val="76C240A7"/>
    <w:rsid w:val="770F3724"/>
    <w:rsid w:val="77155AE5"/>
    <w:rsid w:val="77175228"/>
    <w:rsid w:val="775246B7"/>
    <w:rsid w:val="77C676D2"/>
    <w:rsid w:val="77D742E6"/>
    <w:rsid w:val="77E3746F"/>
    <w:rsid w:val="781E69D1"/>
    <w:rsid w:val="784C71E4"/>
    <w:rsid w:val="78526E6F"/>
    <w:rsid w:val="7876321B"/>
    <w:rsid w:val="78F47F26"/>
    <w:rsid w:val="793C0E54"/>
    <w:rsid w:val="79CA77AF"/>
    <w:rsid w:val="79EB6032"/>
    <w:rsid w:val="7A263B6B"/>
    <w:rsid w:val="7A2E3B88"/>
    <w:rsid w:val="7A48047E"/>
    <w:rsid w:val="7A50051D"/>
    <w:rsid w:val="7A673F94"/>
    <w:rsid w:val="7AB52A74"/>
    <w:rsid w:val="7AEB4369"/>
    <w:rsid w:val="7AF46346"/>
    <w:rsid w:val="7B033751"/>
    <w:rsid w:val="7B0F5EBF"/>
    <w:rsid w:val="7B107297"/>
    <w:rsid w:val="7B130FB9"/>
    <w:rsid w:val="7B164F1B"/>
    <w:rsid w:val="7B1A6C29"/>
    <w:rsid w:val="7B1D4A75"/>
    <w:rsid w:val="7BA51ABB"/>
    <w:rsid w:val="7BB420F7"/>
    <w:rsid w:val="7BB70EDD"/>
    <w:rsid w:val="7BBD6A97"/>
    <w:rsid w:val="7BCB6488"/>
    <w:rsid w:val="7BD31665"/>
    <w:rsid w:val="7BF64EDE"/>
    <w:rsid w:val="7BFC55DF"/>
    <w:rsid w:val="7C043C91"/>
    <w:rsid w:val="7C2B1CAB"/>
    <w:rsid w:val="7C400C1E"/>
    <w:rsid w:val="7C4F316F"/>
    <w:rsid w:val="7C74451B"/>
    <w:rsid w:val="7C903282"/>
    <w:rsid w:val="7CFE4B0A"/>
    <w:rsid w:val="7D5B73E3"/>
    <w:rsid w:val="7D5E1AE1"/>
    <w:rsid w:val="7D6F68FC"/>
    <w:rsid w:val="7D9E6846"/>
    <w:rsid w:val="7DC17351"/>
    <w:rsid w:val="7DD11708"/>
    <w:rsid w:val="7E011823"/>
    <w:rsid w:val="7E851E20"/>
    <w:rsid w:val="7EC167BD"/>
    <w:rsid w:val="7EEB0D5A"/>
    <w:rsid w:val="7F12689B"/>
    <w:rsid w:val="7F271ADF"/>
    <w:rsid w:val="7F272D9E"/>
    <w:rsid w:val="7F77EFA0"/>
    <w:rsid w:val="7F7F266F"/>
    <w:rsid w:val="7F8F5A95"/>
    <w:rsid w:val="7FD52C7F"/>
    <w:rsid w:val="BA9A1C66"/>
    <w:rsid w:val="D8FBDEFD"/>
    <w:rsid w:val="E9EF6E06"/>
    <w:rsid w:val="E9FB9193"/>
    <w:rsid w:val="EF2F2457"/>
    <w:rsid w:val="FFEBF1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semiHidden="0"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nhideWhenUsed="0" w:uiPriority="0" w:semiHidden="0"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uiPriority="99" w:name="HTML Preformatted"/>
    <w:lsdException w:uiPriority="99" w:semiHidden="0" w:name="HTML Sample"/>
    <w:lsdException w:uiPriority="99" w:semiHidden="0" w:name="HTML Typewriter"/>
    <w:lsdException w:uiPriority="99" w:semiHidden="0" w:name="HTML Variable"/>
    <w:lsdException w:qFormat="1"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Calibri" w:hAnsi="Calibri" w:eastAsia="宋体" w:cs="Times New Roman"/>
      <w:b/>
      <w:kern w:val="44"/>
      <w:sz w:val="28"/>
    </w:rPr>
  </w:style>
  <w:style w:type="paragraph" w:styleId="3">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7"/>
    <w:link w:val="52"/>
    <w:qFormat/>
    <w:uiPriority w:val="9"/>
    <w:pPr>
      <w:keepNext/>
      <w:keepLines/>
      <w:spacing w:before="280" w:after="290" w:line="376" w:lineRule="auto"/>
      <w:outlineLvl w:val="4"/>
    </w:pPr>
    <w:rPr>
      <w:b/>
      <w:bCs/>
      <w:sz w:val="28"/>
      <w:szCs w:val="28"/>
    </w:rPr>
  </w:style>
  <w:style w:type="paragraph" w:styleId="8">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Normal Indent"/>
    <w:basedOn w:val="1"/>
    <w:uiPriority w:val="0"/>
    <w:pPr>
      <w:ind w:firstLine="420"/>
    </w:pPr>
    <w:rPr>
      <w:szCs w:val="20"/>
    </w:rPr>
  </w:style>
  <w:style w:type="paragraph" w:styleId="9">
    <w:name w:val="table of authorities"/>
    <w:basedOn w:val="1"/>
    <w:next w:val="1"/>
    <w:unhideWhenUsed/>
    <w:qFormat/>
    <w:uiPriority w:val="99"/>
    <w:pPr>
      <w:ind w:left="420" w:leftChars="200"/>
    </w:pPr>
  </w:style>
  <w:style w:type="paragraph" w:styleId="10">
    <w:name w:val="index 8"/>
    <w:basedOn w:val="1"/>
    <w:next w:val="1"/>
    <w:qFormat/>
    <w:uiPriority w:val="0"/>
    <w:pPr>
      <w:ind w:left="2940"/>
    </w:pPr>
  </w:style>
  <w:style w:type="paragraph" w:styleId="11">
    <w:name w:val="List Number"/>
    <w:basedOn w:val="1"/>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toa heading"/>
    <w:basedOn w:val="1"/>
    <w:next w:val="1"/>
    <w:qFormat/>
    <w:uiPriority w:val="0"/>
    <w:pPr>
      <w:spacing w:before="120"/>
      <w:outlineLvl w:val="0"/>
    </w:pPr>
    <w:rPr>
      <w:rFonts w:ascii="宋体" w:cs="宋体"/>
      <w:b/>
      <w:bCs/>
      <w:sz w:val="28"/>
      <w:szCs w:val="28"/>
    </w:rPr>
  </w:style>
  <w:style w:type="paragraph" w:styleId="13">
    <w:name w:val="annotation text"/>
    <w:basedOn w:val="1"/>
    <w:link w:val="54"/>
    <w:uiPriority w:val="0"/>
    <w:pPr>
      <w:jc w:val="left"/>
    </w:pPr>
  </w:style>
  <w:style w:type="paragraph" w:styleId="14">
    <w:name w:val="Body Text 3"/>
    <w:basedOn w:val="1"/>
    <w:next w:val="7"/>
    <w:link w:val="55"/>
    <w:unhideWhenUsed/>
    <w:uiPriority w:val="99"/>
    <w:pPr>
      <w:spacing w:after="120"/>
    </w:pPr>
    <w:rPr>
      <w:sz w:val="16"/>
      <w:szCs w:val="16"/>
    </w:rPr>
  </w:style>
  <w:style w:type="paragraph" w:styleId="15">
    <w:name w:val="Body Text"/>
    <w:basedOn w:val="1"/>
    <w:next w:val="16"/>
    <w:link w:val="56"/>
    <w:unhideWhenUsed/>
    <w:uiPriority w:val="0"/>
    <w:pPr>
      <w:spacing w:after="120"/>
    </w:pPr>
  </w:style>
  <w:style w:type="paragraph" w:styleId="16">
    <w:name w:val="Body Text First Indent"/>
    <w:basedOn w:val="15"/>
    <w:qFormat/>
    <w:uiPriority w:val="0"/>
    <w:pPr>
      <w:ind w:firstLine="420" w:firstLineChars="100"/>
    </w:pPr>
    <w:rPr>
      <w:sz w:val="24"/>
    </w:rPr>
  </w:style>
  <w:style w:type="paragraph" w:styleId="17">
    <w:name w:val="Body Text Indent"/>
    <w:basedOn w:val="1"/>
    <w:next w:val="18"/>
    <w:link w:val="57"/>
    <w:uiPriority w:val="0"/>
    <w:pPr>
      <w:ind w:firstLine="830" w:firstLineChars="352"/>
    </w:pPr>
    <w:rPr>
      <w:rFonts w:ascii="仿宋_GB2312" w:eastAsia="仿宋_GB2312"/>
      <w:kern w:val="0"/>
      <w:sz w:val="32"/>
      <w:szCs w:val="20"/>
    </w:rPr>
  </w:style>
  <w:style w:type="paragraph" w:styleId="18">
    <w:name w:val="envelope return"/>
    <w:basedOn w:val="1"/>
    <w:qFormat/>
    <w:uiPriority w:val="0"/>
    <w:pPr>
      <w:snapToGrid w:val="0"/>
    </w:pPr>
    <w:rPr>
      <w:rFonts w:ascii="Arial" w:hAnsi="Arial"/>
    </w:rPr>
  </w:style>
  <w:style w:type="paragraph" w:styleId="19">
    <w:name w:val="List 2"/>
    <w:basedOn w:val="1"/>
    <w:unhideWhenUsed/>
    <w:uiPriority w:val="99"/>
    <w:pPr>
      <w:ind w:left="100" w:leftChars="200" w:hanging="200" w:hangingChars="200"/>
      <w:contextualSpacing/>
    </w:pPr>
  </w:style>
  <w:style w:type="paragraph" w:styleId="20">
    <w:name w:val="toc 3"/>
    <w:basedOn w:val="1"/>
    <w:next w:val="1"/>
    <w:unhideWhenUsed/>
    <w:uiPriority w:val="39"/>
    <w:pPr>
      <w:ind w:left="840" w:leftChars="400"/>
    </w:pPr>
  </w:style>
  <w:style w:type="paragraph" w:styleId="21">
    <w:name w:val="Plain Text"/>
    <w:basedOn w:val="1"/>
    <w:next w:val="1"/>
    <w:link w:val="58"/>
    <w:qFormat/>
    <w:uiPriority w:val="0"/>
    <w:rPr>
      <w:rFonts w:ascii="宋体" w:hAnsi="Courier New"/>
      <w:kern w:val="0"/>
      <w:sz w:val="20"/>
      <w:szCs w:val="21"/>
    </w:rPr>
  </w:style>
  <w:style w:type="paragraph" w:styleId="22">
    <w:name w:val="Date"/>
    <w:basedOn w:val="1"/>
    <w:next w:val="1"/>
    <w:link w:val="59"/>
    <w:unhideWhenUsed/>
    <w:uiPriority w:val="99"/>
    <w:pPr>
      <w:ind w:left="100" w:leftChars="2500"/>
    </w:pPr>
  </w:style>
  <w:style w:type="paragraph" w:styleId="23">
    <w:name w:val="Balloon Text"/>
    <w:basedOn w:val="1"/>
    <w:semiHidden/>
    <w:uiPriority w:val="0"/>
    <w:rPr>
      <w:sz w:val="18"/>
      <w:szCs w:val="18"/>
    </w:rPr>
  </w:style>
  <w:style w:type="paragraph" w:styleId="24">
    <w:name w:val="footer"/>
    <w:basedOn w:val="1"/>
    <w:link w:val="60"/>
    <w:unhideWhenUsed/>
    <w:uiPriority w:val="99"/>
    <w:pPr>
      <w:tabs>
        <w:tab w:val="center" w:pos="4153"/>
        <w:tab w:val="right" w:pos="8306"/>
      </w:tabs>
      <w:snapToGrid w:val="0"/>
      <w:jc w:val="left"/>
    </w:pPr>
    <w:rPr>
      <w:kern w:val="0"/>
      <w:sz w:val="18"/>
      <w:szCs w:val="18"/>
    </w:rPr>
  </w:style>
  <w:style w:type="paragraph" w:styleId="25">
    <w:name w:val="header"/>
    <w:basedOn w:val="1"/>
    <w:link w:val="61"/>
    <w:unhideWhenUsed/>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uiPriority w:val="39"/>
  </w:style>
  <w:style w:type="paragraph" w:styleId="2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8">
    <w:name w:val="toc 2"/>
    <w:basedOn w:val="1"/>
    <w:next w:val="1"/>
    <w:unhideWhenUsed/>
    <w:uiPriority w:val="39"/>
    <w:pPr>
      <w:tabs>
        <w:tab w:val="right" w:leader="dot" w:pos="8296"/>
      </w:tabs>
      <w:ind w:left="420" w:leftChars="200"/>
    </w:pPr>
  </w:style>
  <w:style w:type="paragraph" w:styleId="29">
    <w:name w:val="Normal (Web)"/>
    <w:basedOn w:val="1"/>
    <w:unhideWhenUsed/>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0">
    <w:name w:val="annotation subject"/>
    <w:basedOn w:val="13"/>
    <w:next w:val="17"/>
    <w:link w:val="62"/>
    <w:uiPriority w:val="99"/>
    <w:rPr>
      <w:b/>
      <w:bCs/>
    </w:rPr>
  </w:style>
  <w:style w:type="paragraph" w:styleId="31">
    <w:name w:val="Body Text First Indent 2"/>
    <w:basedOn w:val="17"/>
    <w:next w:val="32"/>
    <w:qFormat/>
    <w:uiPriority w:val="0"/>
    <w:pPr>
      <w:ind w:leftChars="0" w:firstLine="210"/>
    </w:pPr>
    <w:rPr>
      <w:szCs w:val="20"/>
    </w:rPr>
  </w:style>
  <w:style w:type="paragraph" w:customStyle="1" w:styleId="32">
    <w:name w:val="**正文"/>
    <w:basedOn w:val="1"/>
    <w:qFormat/>
    <w:uiPriority w:val="0"/>
    <w:pPr>
      <w:ind w:firstLine="482"/>
    </w:pPr>
    <w:rPr>
      <w:rFonts w:ascii="宋体" w:hAnsi="宋体"/>
      <w:sz w:val="24"/>
    </w:rPr>
  </w:style>
  <w:style w:type="table" w:styleId="34">
    <w:name w:val="Table Grid"/>
    <w:basedOn w:val="3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22"/>
  </w:style>
  <w:style w:type="character" w:styleId="37">
    <w:name w:val="endnote reference"/>
    <w:unhideWhenUsed/>
    <w:uiPriority w:val="99"/>
    <w:rPr>
      <w:vertAlign w:val="superscript"/>
    </w:rPr>
  </w:style>
  <w:style w:type="character" w:styleId="38">
    <w:name w:val="page number"/>
    <w:qFormat/>
    <w:uiPriority w:val="0"/>
  </w:style>
  <w:style w:type="character" w:styleId="39">
    <w:name w:val="FollowedHyperlink"/>
    <w:unhideWhenUsed/>
    <w:uiPriority w:val="99"/>
    <w:rPr>
      <w:color w:val="800080"/>
      <w:u w:val="none"/>
    </w:rPr>
  </w:style>
  <w:style w:type="character" w:styleId="40">
    <w:name w:val="Emphasis"/>
    <w:qFormat/>
    <w:uiPriority w:val="20"/>
  </w:style>
  <w:style w:type="character" w:styleId="41">
    <w:name w:val="HTML Definition"/>
    <w:unhideWhenUsed/>
    <w:uiPriority w:val="99"/>
  </w:style>
  <w:style w:type="character" w:styleId="42">
    <w:name w:val="HTML Typewriter"/>
    <w:unhideWhenUsed/>
    <w:uiPriority w:val="99"/>
    <w:rPr>
      <w:rFonts w:ascii="monospace" w:hAnsi="monospace" w:eastAsia="monospace" w:cs="monospace"/>
      <w:sz w:val="20"/>
    </w:rPr>
  </w:style>
  <w:style w:type="character" w:styleId="43">
    <w:name w:val="HTML Acronym"/>
    <w:basedOn w:val="35"/>
    <w:unhideWhenUsed/>
    <w:uiPriority w:val="99"/>
  </w:style>
  <w:style w:type="character" w:styleId="44">
    <w:name w:val="HTML Variable"/>
    <w:unhideWhenUsed/>
    <w:uiPriority w:val="99"/>
  </w:style>
  <w:style w:type="character" w:styleId="45">
    <w:name w:val="Hyperlink"/>
    <w:unhideWhenUsed/>
    <w:uiPriority w:val="99"/>
    <w:rPr>
      <w:color w:val="0000FF"/>
      <w:u w:val="none"/>
    </w:rPr>
  </w:style>
  <w:style w:type="character" w:styleId="46">
    <w:name w:val="HTML Code"/>
    <w:unhideWhenUsed/>
    <w:uiPriority w:val="99"/>
    <w:rPr>
      <w:rFonts w:hint="default" w:ascii="monospace" w:hAnsi="monospace" w:eastAsia="monospace" w:cs="monospace"/>
      <w:sz w:val="20"/>
    </w:rPr>
  </w:style>
  <w:style w:type="character" w:styleId="47">
    <w:name w:val="annotation reference"/>
    <w:uiPriority w:val="0"/>
    <w:rPr>
      <w:sz w:val="21"/>
      <w:szCs w:val="21"/>
    </w:rPr>
  </w:style>
  <w:style w:type="character" w:styleId="48">
    <w:name w:val="HTML Cite"/>
    <w:unhideWhenUsed/>
    <w:uiPriority w:val="99"/>
  </w:style>
  <w:style w:type="character" w:styleId="49">
    <w:name w:val="HTML Keyboard"/>
    <w:unhideWhenUsed/>
    <w:uiPriority w:val="99"/>
    <w:rPr>
      <w:rFonts w:hint="default" w:ascii="monospace" w:hAnsi="monospace" w:eastAsia="monospace" w:cs="monospace"/>
      <w:sz w:val="20"/>
    </w:rPr>
  </w:style>
  <w:style w:type="character" w:styleId="50">
    <w:name w:val="HTML Sample"/>
    <w:unhideWhenUsed/>
    <w:uiPriority w:val="99"/>
    <w:rPr>
      <w:rFonts w:hint="default" w:ascii="monospace" w:hAnsi="monospace" w:eastAsia="monospace" w:cs="monospace"/>
    </w:rPr>
  </w:style>
  <w:style w:type="character" w:customStyle="1" w:styleId="51">
    <w:name w:val="标题 2 字符"/>
    <w:link w:val="3"/>
    <w:uiPriority w:val="9"/>
    <w:rPr>
      <w:rFonts w:ascii="Cambria" w:hAnsi="Cambria" w:eastAsia="宋体" w:cs="Times New Roman"/>
      <w:b/>
      <w:bCs/>
      <w:kern w:val="2"/>
      <w:sz w:val="32"/>
      <w:szCs w:val="32"/>
    </w:rPr>
  </w:style>
  <w:style w:type="character" w:customStyle="1" w:styleId="52">
    <w:name w:val="标题 5 字符"/>
    <w:link w:val="6"/>
    <w:semiHidden/>
    <w:uiPriority w:val="9"/>
    <w:rPr>
      <w:rFonts w:ascii="Times New Roman" w:hAnsi="Times New Roman"/>
      <w:b/>
      <w:bCs/>
      <w:kern w:val="2"/>
      <w:sz w:val="28"/>
      <w:szCs w:val="28"/>
    </w:rPr>
  </w:style>
  <w:style w:type="character" w:customStyle="1" w:styleId="53">
    <w:name w:val="标题 8 字符"/>
    <w:link w:val="8"/>
    <w:semiHidden/>
    <w:uiPriority w:val="9"/>
    <w:rPr>
      <w:rFonts w:ascii="等线 Light" w:hAnsi="等线 Light" w:eastAsia="等线 Light" w:cs="Times New Roman"/>
      <w:kern w:val="2"/>
      <w:sz w:val="24"/>
      <w:szCs w:val="24"/>
    </w:rPr>
  </w:style>
  <w:style w:type="character" w:customStyle="1" w:styleId="54">
    <w:name w:val="批注文字 字符"/>
    <w:link w:val="13"/>
    <w:uiPriority w:val="0"/>
    <w:rPr>
      <w:rFonts w:ascii="Times New Roman" w:hAnsi="Times New Roman"/>
      <w:kern w:val="2"/>
      <w:sz w:val="21"/>
      <w:szCs w:val="24"/>
    </w:rPr>
  </w:style>
  <w:style w:type="character" w:customStyle="1" w:styleId="55">
    <w:name w:val="正文文本 3 字符"/>
    <w:link w:val="14"/>
    <w:semiHidden/>
    <w:uiPriority w:val="99"/>
    <w:rPr>
      <w:kern w:val="2"/>
      <w:sz w:val="16"/>
      <w:szCs w:val="16"/>
    </w:rPr>
  </w:style>
  <w:style w:type="character" w:customStyle="1" w:styleId="56">
    <w:name w:val="正文文本 字符"/>
    <w:link w:val="15"/>
    <w:uiPriority w:val="0"/>
    <w:rPr>
      <w:rFonts w:ascii="Times New Roman" w:hAnsi="Times New Roman"/>
      <w:kern w:val="2"/>
      <w:sz w:val="21"/>
      <w:szCs w:val="24"/>
    </w:rPr>
  </w:style>
  <w:style w:type="character" w:customStyle="1" w:styleId="57">
    <w:name w:val="正文文本缩进 字符"/>
    <w:link w:val="17"/>
    <w:uiPriority w:val="0"/>
    <w:rPr>
      <w:rFonts w:ascii="仿宋_GB2312" w:hAnsi="Times New Roman" w:eastAsia="仿宋_GB2312" w:cs="Times New Roman"/>
      <w:sz w:val="32"/>
      <w:szCs w:val="20"/>
    </w:rPr>
  </w:style>
  <w:style w:type="character" w:customStyle="1" w:styleId="58">
    <w:name w:val="纯文本 字符"/>
    <w:link w:val="21"/>
    <w:qFormat/>
    <w:uiPriority w:val="0"/>
    <w:rPr>
      <w:rFonts w:ascii="宋体" w:hAnsi="Courier New" w:eastAsia="宋体" w:cs="Courier New"/>
      <w:szCs w:val="21"/>
    </w:rPr>
  </w:style>
  <w:style w:type="character" w:customStyle="1" w:styleId="59">
    <w:name w:val="日期 字符"/>
    <w:link w:val="22"/>
    <w:semiHidden/>
    <w:uiPriority w:val="99"/>
    <w:rPr>
      <w:rFonts w:ascii="Times New Roman" w:hAnsi="Times New Roman"/>
      <w:kern w:val="2"/>
      <w:sz w:val="21"/>
      <w:szCs w:val="24"/>
    </w:rPr>
  </w:style>
  <w:style w:type="character" w:customStyle="1" w:styleId="60">
    <w:name w:val="页脚 字符"/>
    <w:link w:val="24"/>
    <w:uiPriority w:val="99"/>
    <w:rPr>
      <w:sz w:val="18"/>
      <w:szCs w:val="18"/>
    </w:rPr>
  </w:style>
  <w:style w:type="character" w:customStyle="1" w:styleId="61">
    <w:name w:val="页眉 字符"/>
    <w:link w:val="25"/>
    <w:uiPriority w:val="99"/>
    <w:rPr>
      <w:sz w:val="18"/>
      <w:szCs w:val="18"/>
    </w:rPr>
  </w:style>
  <w:style w:type="character" w:customStyle="1" w:styleId="62">
    <w:name w:val="批注主题 字符"/>
    <w:link w:val="30"/>
    <w:uiPriority w:val="99"/>
    <w:rPr>
      <w:rFonts w:ascii="Times New Roman" w:hAnsi="Times New Roman"/>
      <w:b/>
      <w:bCs/>
      <w:kern w:val="2"/>
      <w:sz w:val="21"/>
      <w:szCs w:val="24"/>
    </w:rPr>
  </w:style>
  <w:style w:type="character" w:customStyle="1" w:styleId="63">
    <w:name w:val="apple-style-span"/>
    <w:uiPriority w:val="0"/>
  </w:style>
  <w:style w:type="character" w:customStyle="1" w:styleId="64">
    <w:name w:val="正文文本 Char"/>
    <w:uiPriority w:val="0"/>
    <w:rPr>
      <w:rFonts w:ascii="Times New Roman" w:hAnsi="Times New Roman"/>
      <w:kern w:val="2"/>
      <w:sz w:val="21"/>
      <w:szCs w:val="24"/>
    </w:rPr>
  </w:style>
  <w:style w:type="character" w:customStyle="1" w:styleId="65">
    <w:name w:val="textcontents"/>
    <w:uiPriority w:val="0"/>
  </w:style>
  <w:style w:type="character" w:customStyle="1" w:styleId="66">
    <w:name w:val="15"/>
    <w:uiPriority w:val="0"/>
    <w:rPr>
      <w:rFonts w:hint="default" w:ascii="Times New Roman" w:hAnsi="Times New Roman" w:cs="Times New Roman"/>
      <w:color w:val="0000FF"/>
      <w:u w:val="single"/>
    </w:rPr>
  </w:style>
  <w:style w:type="character" w:customStyle="1" w:styleId="67">
    <w:name w:val="批注文字 Char"/>
    <w:uiPriority w:val="0"/>
    <w:rPr>
      <w:rFonts w:ascii="Times New Roman" w:hAnsi="Times New Roman"/>
      <w:kern w:val="2"/>
      <w:sz w:val="21"/>
      <w:szCs w:val="24"/>
    </w:rPr>
  </w:style>
  <w:style w:type="character" w:customStyle="1" w:styleId="68">
    <w:name w:val="NormalCharacter"/>
    <w:semiHidden/>
    <w:qFormat/>
    <w:uiPriority w:val="0"/>
  </w:style>
  <w:style w:type="character" w:customStyle="1" w:styleId="69">
    <w:name w:val="标题 8 Char"/>
    <w:uiPriority w:val="0"/>
    <w:rPr>
      <w:rFonts w:ascii="Arial" w:hAnsi="Arial" w:eastAsia="黑体"/>
      <w:kern w:val="2"/>
      <w:sz w:val="24"/>
      <w:szCs w:val="24"/>
    </w:rPr>
  </w:style>
  <w:style w:type="character" w:customStyle="1" w:styleId="70">
    <w:name w:val="hover2"/>
    <w:uiPriority w:val="0"/>
    <w:rPr>
      <w:color w:val="2590EB"/>
    </w:rPr>
  </w:style>
  <w:style w:type="character" w:customStyle="1" w:styleId="71">
    <w:name w:val="hover"/>
    <w:uiPriority w:val="0"/>
    <w:rPr>
      <w:color w:val="2590EB"/>
    </w:rPr>
  </w:style>
  <w:style w:type="character" w:customStyle="1" w:styleId="72">
    <w:name w:val="批注文字 字符1"/>
    <w:uiPriority w:val="0"/>
    <w:rPr>
      <w:rFonts w:ascii="Times New Roman" w:hAnsi="Times New Roman"/>
      <w:kern w:val="2"/>
      <w:sz w:val="21"/>
      <w:szCs w:val="24"/>
    </w:rPr>
  </w:style>
  <w:style w:type="character" w:customStyle="1" w:styleId="73">
    <w:name w:val="正文小标题 Char"/>
    <w:qFormat/>
    <w:uiPriority w:val="0"/>
    <w:rPr>
      <w:rFonts w:hAnsi="宋体"/>
      <w:b/>
      <w:bCs/>
      <w:kern w:val="44"/>
      <w:sz w:val="21"/>
      <w:szCs w:val="21"/>
    </w:rPr>
  </w:style>
  <w:style w:type="character" w:customStyle="1" w:styleId="74">
    <w:name w:val="纯文本 字符2"/>
    <w:qFormat/>
    <w:uiPriority w:val="0"/>
    <w:rPr>
      <w:rFonts w:ascii="宋体" w:hAnsi="Courier New" w:eastAsia="宋体" w:cs="Courier New"/>
      <w:szCs w:val="21"/>
    </w:rPr>
  </w:style>
  <w:style w:type="character" w:customStyle="1" w:styleId="75">
    <w:name w:val="标题 2 Char"/>
    <w:uiPriority w:val="9"/>
    <w:rPr>
      <w:rFonts w:ascii="Cambria" w:hAnsi="Cambria" w:eastAsia="宋体" w:cs="Times New Roman"/>
      <w:b/>
      <w:bCs/>
      <w:kern w:val="2"/>
      <w:sz w:val="32"/>
      <w:szCs w:val="32"/>
    </w:rPr>
  </w:style>
  <w:style w:type="character" w:customStyle="1" w:styleId="76">
    <w:name w:val="纯文本 Char"/>
    <w:qFormat/>
    <w:uiPriority w:val="0"/>
    <w:rPr>
      <w:rFonts w:ascii="宋体" w:hAnsi="Courier New" w:eastAsia="宋体" w:cs="Courier New"/>
      <w:szCs w:val="21"/>
    </w:rPr>
  </w:style>
  <w:style w:type="character" w:customStyle="1" w:styleId="77">
    <w:name w:val="hover1"/>
    <w:basedOn w:val="35"/>
    <w:uiPriority w:val="0"/>
  </w:style>
  <w:style w:type="character" w:customStyle="1" w:styleId="78">
    <w:name w:val="Font Style50"/>
    <w:uiPriority w:val="0"/>
    <w:rPr>
      <w:rFonts w:ascii="宋体" w:eastAsia="宋体"/>
      <w:sz w:val="20"/>
    </w:rPr>
  </w:style>
  <w:style w:type="character" w:customStyle="1" w:styleId="79">
    <w:name w:val="hover3"/>
    <w:uiPriority w:val="0"/>
    <w:rPr>
      <w:color w:val="2590EB"/>
    </w:rPr>
  </w:style>
  <w:style w:type="character" w:customStyle="1" w:styleId="80">
    <w:name w:val="纯文本 字符1"/>
    <w:qFormat/>
    <w:uiPriority w:val="0"/>
    <w:rPr>
      <w:rFonts w:ascii="宋体" w:hAnsi="Courier New"/>
    </w:rPr>
  </w:style>
  <w:style w:type="character" w:customStyle="1" w:styleId="81">
    <w:name w:val="mini-outputtext1"/>
    <w:basedOn w:val="35"/>
    <w:uiPriority w:val="0"/>
  </w:style>
  <w:style w:type="character" w:customStyle="1" w:styleId="82">
    <w:name w:val="正文文本 (26) + 间距 0 pt"/>
    <w:uiPriority w:val="0"/>
    <w:rPr>
      <w:rFonts w:ascii="宋体" w:hAnsi="宋体" w:eastAsia="宋体" w:cs="宋体"/>
      <w:color w:val="000000"/>
      <w:spacing w:val="0"/>
      <w:w w:val="100"/>
      <w:position w:val="0"/>
      <w:sz w:val="22"/>
      <w:szCs w:val="22"/>
      <w:u w:val="none"/>
      <w:lang w:val="zh-CN" w:eastAsia="zh-CN" w:bidi="zh-CN"/>
    </w:rPr>
  </w:style>
  <w:style w:type="paragraph" w:customStyle="1" w:styleId="83">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customStyle="1" w:styleId="84">
    <w:name w:val="正文_0"/>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文本_0"/>
    <w:basedOn w:val="84"/>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86">
    <w:name w:val="默认段落字体 Para Char Char Char Char Char Char Char Char Char1 Char Char Char Char"/>
    <w:basedOn w:val="1"/>
    <w:uiPriority w:val="0"/>
    <w:rPr>
      <w:rFonts w:ascii="Tahoma" w:hAnsi="Tahoma"/>
      <w:sz w:val="24"/>
      <w:szCs w:val="20"/>
    </w:rPr>
  </w:style>
  <w:style w:type="paragraph" w:customStyle="1" w:styleId="8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呀_1"/>
    <w:basedOn w:val="84"/>
    <w:qFormat/>
    <w:uiPriority w:val="0"/>
    <w:pPr>
      <w:spacing w:line="420" w:lineRule="exact"/>
      <w:ind w:firstLine="420" w:firstLineChars="200"/>
    </w:pPr>
    <w:rPr>
      <w:rFonts w:ascii="宋体" w:hAnsi="宋体"/>
      <w:kern w:val="0"/>
      <w:sz w:val="20"/>
      <w:szCs w:val="21"/>
      <w:lang w:val="zh-CN" w:eastAsia="zh-CN"/>
    </w:rPr>
  </w:style>
  <w:style w:type="paragraph" w:customStyle="1" w:styleId="89">
    <w:name w:val="Normal_0"/>
    <w:qFormat/>
    <w:uiPriority w:val="0"/>
    <w:rPr>
      <w:rFonts w:ascii="Times New Roman" w:hAnsi="Times New Roman" w:eastAsia="Times New Roman" w:cs="Times New Roman"/>
      <w:sz w:val="24"/>
      <w:szCs w:val="24"/>
      <w:lang w:val="en-US" w:eastAsia="zh-CN" w:bidi="ar-SA"/>
    </w:rPr>
  </w:style>
  <w:style w:type="paragraph" w:customStyle="1" w:styleId="90">
    <w:name w:val="BodyText1I2"/>
    <w:basedOn w:val="91"/>
    <w:qFormat/>
    <w:uiPriority w:val="0"/>
    <w:pPr>
      <w:ind w:firstLine="420" w:firstLineChars="200"/>
      <w:jc w:val="both"/>
      <w:textAlignment w:val="baseline"/>
    </w:pPr>
  </w:style>
  <w:style w:type="paragraph" w:customStyle="1" w:styleId="91">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92">
    <w:name w:val="BodyText"/>
    <w:basedOn w:val="1"/>
    <w:qFormat/>
    <w:uiPriority w:val="0"/>
    <w:pPr>
      <w:spacing w:line="240" w:lineRule="auto"/>
      <w:jc w:val="both"/>
      <w:textAlignment w:val="baseline"/>
    </w:pPr>
    <w:rPr>
      <w:kern w:val="2"/>
      <w:sz w:val="21"/>
      <w:szCs w:val="21"/>
      <w:lang w:val="en-US" w:eastAsia="zh-CN" w:bidi="ar-SA"/>
    </w:rPr>
  </w:style>
  <w:style w:type="paragraph" w:customStyle="1" w:styleId="93">
    <w:name w:val="正文小标题_0"/>
    <w:basedOn w:val="94"/>
    <w:qFormat/>
    <w:uiPriority w:val="0"/>
    <w:pPr>
      <w:spacing w:line="420" w:lineRule="exact"/>
    </w:pPr>
    <w:rPr>
      <w:rFonts w:hAnsi="宋体" w:eastAsia="宋体"/>
      <w:sz w:val="21"/>
      <w:szCs w:val="21"/>
    </w:rPr>
  </w:style>
  <w:style w:type="paragraph" w:customStyle="1" w:styleId="94">
    <w:name w:val="标题 1_0"/>
    <w:basedOn w:val="84"/>
    <w:next w:val="84"/>
    <w:qFormat/>
    <w:uiPriority w:val="99"/>
    <w:pPr>
      <w:keepNext/>
      <w:keepLines/>
      <w:spacing w:line="360" w:lineRule="auto"/>
      <w:outlineLvl w:val="0"/>
    </w:pPr>
    <w:rPr>
      <w:rFonts w:eastAsia="黑体"/>
      <w:b/>
      <w:bCs/>
      <w:kern w:val="44"/>
      <w:sz w:val="32"/>
      <w:szCs w:val="44"/>
    </w:rPr>
  </w:style>
  <w:style w:type="paragraph" w:customStyle="1" w:styleId="9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_4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安图表段前"/>
    <w:basedOn w:val="21"/>
    <w:qFormat/>
    <w:uiPriority w:val="0"/>
    <w:pPr>
      <w:spacing w:before="156" w:beforeLines="50"/>
      <w:jc w:val="center"/>
      <w:textAlignment w:val="center"/>
    </w:pPr>
    <w:rPr>
      <w:rFonts w:ascii="宋体" w:eastAsia="宋体" w:cs="Times New Roman"/>
      <w:szCs w:val="21"/>
    </w:rPr>
  </w:style>
  <w:style w:type="paragraph" w:customStyle="1" w:styleId="99">
    <w:name w:val="UserStyle_16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00">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null3"/>
    <w:qFormat/>
    <w:uiPriority w:val="0"/>
    <w:rPr>
      <w:rFonts w:hint="eastAsia" w:ascii="Calibri" w:hAnsi="Calibri" w:eastAsia="宋体" w:cs="Times New Roman"/>
      <w:lang w:val="en-US" w:eastAsia="zh-Hans" w:bidi="ar-SA"/>
    </w:rPr>
  </w:style>
  <w:style w:type="paragraph" w:customStyle="1" w:styleId="102">
    <w:name w:val="Table Paragraph"/>
    <w:basedOn w:val="1"/>
    <w:qFormat/>
    <w:uiPriority w:val="1"/>
    <w:pPr>
      <w:autoSpaceDE w:val="0"/>
      <w:autoSpaceDN w:val="0"/>
      <w:adjustRightInd w:val="0"/>
      <w:jc w:val="left"/>
    </w:pPr>
    <w:rPr>
      <w:rFonts w:ascii="宋体" w:cs="宋体"/>
      <w:kern w:val="0"/>
      <w:sz w:val="24"/>
    </w:rPr>
  </w:style>
  <w:style w:type="paragraph" w:styleId="103">
    <w:name w:val="List Paragraph"/>
    <w:basedOn w:val="1"/>
    <w:qFormat/>
    <w:uiPriority w:val="34"/>
    <w:pPr>
      <w:ind w:firstLine="420" w:firstLineChars="200"/>
    </w:pPr>
  </w:style>
  <w:style w:type="paragraph" w:customStyle="1" w:styleId="104">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5">
    <w:name w:val="_Style 104"/>
    <w:unhideWhenUsed/>
    <w:uiPriority w:val="99"/>
    <w:rPr>
      <w:rFonts w:ascii="Times New Roman" w:hAnsi="Times New Roman" w:eastAsia="宋体" w:cs="Times New Roman"/>
      <w:kern w:val="2"/>
      <w:sz w:val="21"/>
      <w:szCs w:val="24"/>
      <w:lang w:val="en-US" w:eastAsia="zh-CN" w:bidi="ar-SA"/>
    </w:rPr>
  </w:style>
  <w:style w:type="paragraph" w:customStyle="1" w:styleId="106">
    <w:name w:val="表格文字"/>
    <w:basedOn w:val="17"/>
    <w:next w:val="1"/>
    <w:qFormat/>
    <w:uiPriority w:val="0"/>
    <w:pPr>
      <w:adjustRightInd w:val="0"/>
      <w:spacing w:line="420" w:lineRule="atLeast"/>
      <w:jc w:val="left"/>
      <w:textAlignment w:val="baseline"/>
    </w:pPr>
    <w:rPr>
      <w:kern w:val="0"/>
    </w:rPr>
  </w:style>
  <w:style w:type="paragraph" w:customStyle="1" w:styleId="107">
    <w:name w:val="正文呀"/>
    <w:basedOn w:val="1"/>
    <w:qFormat/>
    <w:uiPriority w:val="0"/>
    <w:pPr>
      <w:spacing w:line="420" w:lineRule="exact"/>
      <w:ind w:firstLine="420" w:firstLineChars="200"/>
    </w:pPr>
    <w:rPr>
      <w:rFonts w:ascii="宋体" w:hAnsi="宋体"/>
      <w:szCs w:val="21"/>
    </w:rPr>
  </w:style>
  <w:style w:type="paragraph" w:customStyle="1" w:styleId="108">
    <w:name w:val="正文呀2_1"/>
    <w:basedOn w:val="109"/>
    <w:qFormat/>
    <w:uiPriority w:val="0"/>
    <w:pPr>
      <w:spacing w:line="420" w:lineRule="exact"/>
      <w:ind w:firstLine="420" w:firstLineChars="200"/>
    </w:pPr>
    <w:rPr>
      <w:szCs w:val="21"/>
    </w:rPr>
  </w:style>
  <w:style w:type="paragraph" w:customStyle="1" w:styleId="109">
    <w:name w:val="正文呀_0"/>
    <w:basedOn w:val="87"/>
    <w:qFormat/>
    <w:uiPriority w:val="0"/>
    <w:pPr>
      <w:spacing w:line="420" w:lineRule="exact"/>
      <w:ind w:firstLine="420" w:firstLineChars="200"/>
    </w:pPr>
    <w:rPr>
      <w:rFonts w:ascii="宋体" w:hAnsi="宋体"/>
      <w:szCs w:val="21"/>
    </w:rPr>
  </w:style>
  <w:style w:type="paragraph" w:customStyle="1" w:styleId="11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_3_0_0"/>
    <w:basedOn w:val="96"/>
    <w:qFormat/>
    <w:uiPriority w:val="0"/>
    <w:rPr>
      <w:rFonts w:ascii="Times New Roman" w:hAnsi="Times New Roman" w:eastAsia="宋体"/>
    </w:rPr>
  </w:style>
  <w:style w:type="paragraph" w:customStyle="1" w:styleId="112">
    <w:name w:val="纯文本_0"/>
    <w:basedOn w:val="84"/>
    <w:unhideWhenUsed/>
    <w:qFormat/>
    <w:uiPriority w:val="0"/>
    <w:rPr>
      <w:rFonts w:ascii="宋体" w:hAnsi="Courier New"/>
      <w:szCs w:val="24"/>
    </w:rPr>
  </w:style>
  <w:style w:type="paragraph" w:customStyle="1" w:styleId="113">
    <w:name w:val="正文呀2_0"/>
    <w:basedOn w:val="109"/>
    <w:qFormat/>
    <w:uiPriority w:val="0"/>
    <w:rPr>
      <w:rFonts w:ascii="Times New Roman" w:hAnsi="Times New Roman"/>
    </w:rPr>
  </w:style>
  <w:style w:type="paragraph" w:customStyle="1" w:styleId="114">
    <w:name w:val="表内文字"/>
    <w:basedOn w:val="1"/>
    <w:uiPriority w:val="0"/>
    <w:pPr>
      <w:snapToGrid w:val="0"/>
      <w:spacing w:before="50" w:after="50"/>
      <w:jc w:val="center"/>
    </w:pPr>
    <w:rPr>
      <w:rFonts w:ascii="仿宋_GB2312" w:hAnsi="宋体" w:eastAsia="仿宋_GB2312"/>
      <w:b/>
      <w:color w:val="000000"/>
      <w:sz w:val="32"/>
      <w:szCs w:val="32"/>
    </w:rPr>
  </w:style>
  <w:style w:type="paragraph" w:customStyle="1" w:styleId="115">
    <w:name w:val="无间隔1"/>
    <w:basedOn w:val="1"/>
    <w:uiPriority w:val="0"/>
    <w:pPr>
      <w:keepNext w:val="0"/>
      <w:keepLines w:val="0"/>
      <w:widowControl w:val="0"/>
      <w:suppressLineNumbers w:val="0"/>
      <w:spacing w:before="0" w:beforeAutospacing="0" w:after="0" w:afterAutospacing="0" w:line="320" w:lineRule="exact"/>
      <w:ind w:left="0" w:right="0"/>
      <w:jc w:val="both"/>
    </w:pPr>
    <w:rPr>
      <w:rFonts w:hint="eastAsia" w:ascii="等线" w:hAnsi="等线" w:eastAsia="等线" w:cs="等线"/>
      <w:color w:val="000000"/>
      <w:kern w:val="0"/>
      <w:sz w:val="22"/>
      <w:szCs w:val="22"/>
      <w:lang w:val="en-US" w:eastAsia="zh-CN" w:bidi="ar"/>
    </w:rPr>
  </w:style>
  <w:style w:type="paragraph" w:customStyle="1" w:styleId="116">
    <w:name w:val="正文呀2"/>
    <w:basedOn w:val="107"/>
    <w:qFormat/>
    <w:uiPriority w:val="0"/>
  </w:style>
  <w:style w:type="character" w:customStyle="1" w:styleId="117">
    <w:name w:val="HTML Markup"/>
    <w:uiPriority w:val="0"/>
    <w:rPr>
      <w:vanish/>
      <w:color w:val="FF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54</Pages>
  <Words>23459</Words>
  <Characters>24718</Characters>
  <Lines>1591</Lines>
  <Paragraphs>1672</Paragraphs>
  <TotalTime>46</TotalTime>
  <ScaleCrop>false</ScaleCrop>
  <LinksUpToDate>false</LinksUpToDate>
  <CharactersWithSpaces>24952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2025-05-24T17:29:00Z</dcterms:created>
  <dc:creator>唐冰</dc:creator>
  <cp:lastModifiedBy>NTKO</cp:lastModifiedBy>
  <cp:lastPrinted>2022-03-04T15:09:00Z</cp:lastPrinted>
  <dcterms:modified xsi:type="dcterms:W3CDTF">2025-10-17T07:21:29Z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155B24FFBA2A4577928D2FAF49D940E8_13</vt:lpwstr>
  </property>
  <property fmtid="{D5CDD505-2E9C-101B-9397-08002B2CF9AE}" pid="4" name="KSOTemplateDocerSaveRecord">
    <vt:lpwstr>eyJoZGlkIjoiYzI3ZTFjZjczZWFmYWM3ZDJhODM1NDhiMzJkNGY5NjIiLCJ1c2VySWQiOiIxMzAzODI5MDA5In0=</vt:lpwstr>
  </property>
</Properties>
</file>